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6332F" w14:textId="77777777" w:rsidR="00EC6EA5" w:rsidRPr="000510FE" w:rsidRDefault="00EC6EA5" w:rsidP="00EC6EA5">
      <w:pPr>
        <w:jc w:val="center"/>
        <w:rPr>
          <w:rFonts w:eastAsia="Calibri" w:cs="Arial"/>
          <w:b/>
          <w:lang w:eastAsia="de-DE"/>
        </w:rPr>
      </w:pPr>
    </w:p>
    <w:p w14:paraId="0D367150" w14:textId="4A633E5D" w:rsidR="00EC6EA5" w:rsidRPr="00EC6EA5" w:rsidRDefault="00EC6EA5" w:rsidP="00EC6EA5">
      <w:pPr>
        <w:jc w:val="center"/>
        <w:rPr>
          <w:rFonts w:eastAsia="Calibri" w:cs="Arial"/>
          <w:b/>
          <w:lang w:eastAsia="de-DE"/>
        </w:rPr>
      </w:pPr>
      <w:r w:rsidRPr="00EC6EA5">
        <w:rPr>
          <w:rFonts w:eastAsia="Calibri" w:cs="Arial"/>
          <w:b/>
          <w:lang w:eastAsia="de-DE"/>
        </w:rPr>
        <w:t>Act.WP2.5 Recommended policies</w:t>
      </w:r>
      <w:r w:rsidRPr="00EC6EA5">
        <w:rPr>
          <w:rFonts w:eastAsia="Calibri" w:cs="Arial"/>
          <w:b/>
          <w:lang w:eastAsia="de-DE"/>
        </w:rPr>
        <w:br w:type="textWrapping" w:clear="all"/>
      </w:r>
    </w:p>
    <w:p w14:paraId="7CA5B85D" w14:textId="77777777" w:rsidR="00EC6EA5" w:rsidRDefault="00EC6EA5" w:rsidP="00EC6EA5">
      <w:pPr>
        <w:jc w:val="center"/>
        <w:rPr>
          <w:rFonts w:eastAsia="Calibri" w:cs="Arial"/>
          <w:b/>
          <w:lang w:eastAsia="de-DE"/>
        </w:rPr>
      </w:pPr>
    </w:p>
    <w:p w14:paraId="7C9ED1BA" w14:textId="77777777" w:rsidR="00EC6EA5" w:rsidRDefault="00EC6EA5" w:rsidP="00EC6EA5">
      <w:pPr>
        <w:jc w:val="center"/>
        <w:rPr>
          <w:rFonts w:eastAsia="Calibri" w:cs="Arial"/>
          <w:b/>
          <w:lang w:eastAsia="de-DE"/>
        </w:rPr>
      </w:pPr>
    </w:p>
    <w:p w14:paraId="73E0B5D7" w14:textId="77777777" w:rsidR="00EC6EA5" w:rsidRPr="000510FE" w:rsidRDefault="00EC6EA5" w:rsidP="00EC6EA5">
      <w:pPr>
        <w:jc w:val="center"/>
        <w:rPr>
          <w:rFonts w:eastAsia="Calibri" w:cs="Arial"/>
          <w:b/>
          <w:lang w:eastAsia="de-DE"/>
        </w:rPr>
      </w:pPr>
    </w:p>
    <w:p w14:paraId="0EAD0141" w14:textId="77777777" w:rsidR="00EC6EA5" w:rsidRPr="000510FE" w:rsidRDefault="00EC6EA5" w:rsidP="00EC6EA5">
      <w:pPr>
        <w:jc w:val="center"/>
        <w:rPr>
          <w:rFonts w:eastAsia="Calibri" w:cs="Arial"/>
          <w:b/>
          <w:lang w:val="en-GB" w:eastAsia="de-DE"/>
        </w:rPr>
      </w:pPr>
    </w:p>
    <w:p w14:paraId="1E15CFBD" w14:textId="77777777" w:rsidR="00EC6EA5" w:rsidRPr="00B30774" w:rsidRDefault="00EC6EA5" w:rsidP="00EC6EA5">
      <w:pPr>
        <w:pBdr>
          <w:top w:val="single" w:sz="4" w:space="2" w:color="auto"/>
          <w:left w:val="single" w:sz="4" w:space="4" w:color="auto"/>
          <w:bottom w:val="single" w:sz="4" w:space="1" w:color="auto"/>
          <w:right w:val="single" w:sz="4" w:space="4" w:color="auto"/>
        </w:pBdr>
        <w:jc w:val="center"/>
        <w:rPr>
          <w:rFonts w:eastAsia="Calibri" w:cs="Arial"/>
          <w:b/>
          <w:sz w:val="28"/>
          <w:szCs w:val="28"/>
          <w:lang w:val="en-GB" w:eastAsia="de-DE"/>
        </w:rPr>
      </w:pPr>
      <w:r w:rsidRPr="00B30774">
        <w:rPr>
          <w:rFonts w:eastAsia="Calibri" w:cs="Arial"/>
          <w:b/>
          <w:sz w:val="28"/>
          <w:szCs w:val="28"/>
          <w:lang w:val="en-GB" w:eastAsia="de-DE"/>
        </w:rPr>
        <w:t>Draft</w:t>
      </w:r>
    </w:p>
    <w:p w14:paraId="6DF61EAB" w14:textId="3B3E688E" w:rsidR="00EC6EA5" w:rsidRDefault="00EC6EA5" w:rsidP="00EC6EA5">
      <w:pPr>
        <w:pBdr>
          <w:top w:val="single" w:sz="4" w:space="2" w:color="auto"/>
          <w:left w:val="single" w:sz="4" w:space="4" w:color="auto"/>
          <w:bottom w:val="single" w:sz="4" w:space="1" w:color="auto"/>
          <w:right w:val="single" w:sz="4" w:space="4" w:color="auto"/>
        </w:pBdr>
        <w:jc w:val="center"/>
        <w:rPr>
          <w:rFonts w:eastAsia="Calibri" w:cs="Arial"/>
          <w:b/>
          <w:sz w:val="28"/>
          <w:szCs w:val="28"/>
          <w:lang w:val="en-GB" w:eastAsia="de-DE"/>
        </w:rPr>
      </w:pPr>
      <w:r w:rsidRPr="00EC6EA5">
        <w:rPr>
          <w:rFonts w:eastAsia="Calibri" w:cs="Arial"/>
          <w:b/>
          <w:sz w:val="28"/>
          <w:szCs w:val="28"/>
          <w:lang w:val="en-GB" w:eastAsia="de-DE"/>
        </w:rPr>
        <w:t>Proposal</w:t>
      </w:r>
      <w:r>
        <w:rPr>
          <w:rFonts w:eastAsia="Calibri" w:cs="Arial"/>
          <w:b/>
          <w:sz w:val="28"/>
          <w:szCs w:val="28"/>
          <w:lang w:val="en-GB" w:eastAsia="de-DE"/>
        </w:rPr>
        <w:t xml:space="preserve"> for the Concept of PT Studies</w:t>
      </w:r>
    </w:p>
    <w:p w14:paraId="3E507187" w14:textId="160371DF" w:rsidR="00EC6EA5" w:rsidRPr="000510FE" w:rsidRDefault="00EC6EA5" w:rsidP="00EC6EA5">
      <w:pPr>
        <w:pBdr>
          <w:top w:val="single" w:sz="4" w:space="2" w:color="auto"/>
          <w:left w:val="single" w:sz="4" w:space="4" w:color="auto"/>
          <w:bottom w:val="single" w:sz="4" w:space="1" w:color="auto"/>
          <w:right w:val="single" w:sz="4" w:space="4" w:color="auto"/>
        </w:pBdr>
        <w:jc w:val="center"/>
        <w:rPr>
          <w:rFonts w:eastAsia="Calibri" w:cs="Arial"/>
          <w:b/>
          <w:lang w:val="en-GB" w:eastAsia="de-DE"/>
        </w:rPr>
      </w:pPr>
      <w:r w:rsidRPr="00EC6EA5">
        <w:rPr>
          <w:rFonts w:eastAsia="Calibri" w:cs="Arial"/>
          <w:b/>
          <w:sz w:val="28"/>
          <w:szCs w:val="28"/>
          <w:lang w:val="en-GB" w:eastAsia="de-DE"/>
        </w:rPr>
        <w:t xml:space="preserve"> (in Serbian)</w:t>
      </w:r>
    </w:p>
    <w:p w14:paraId="4D225BE4" w14:textId="77777777" w:rsidR="00EC6EA5" w:rsidRDefault="00EC6EA5" w:rsidP="00EC6EA5">
      <w:pPr>
        <w:rPr>
          <w:rFonts w:ascii="Times New Roman" w:eastAsia="Calibri" w:hAnsi="Times New Roman" w:cs="Arial"/>
          <w:b/>
          <w:lang w:val="en-GB" w:eastAsia="de-DE"/>
        </w:rPr>
      </w:pPr>
    </w:p>
    <w:p w14:paraId="3A2C0A9A" w14:textId="77777777" w:rsidR="00EC6EA5" w:rsidRPr="000510FE" w:rsidRDefault="00EC6EA5" w:rsidP="00EC6EA5">
      <w:pPr>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60" w:firstRow="1" w:lastRow="1" w:firstColumn="0" w:lastColumn="0" w:noHBand="0" w:noVBand="0"/>
      </w:tblPr>
      <w:tblGrid>
        <w:gridCol w:w="2476"/>
        <w:gridCol w:w="6704"/>
      </w:tblGrid>
      <w:tr w:rsidR="00EC6EA5" w:rsidRPr="000510FE" w14:paraId="13464D69" w14:textId="77777777" w:rsidTr="00EC6EA5">
        <w:trPr>
          <w:trHeight w:val="230"/>
          <w:jc w:val="center"/>
        </w:trPr>
        <w:tc>
          <w:tcPr>
            <w:tcW w:w="2476" w:type="dxa"/>
            <w:shd w:val="clear" w:color="auto" w:fill="BFBFBF"/>
            <w:vAlign w:val="center"/>
          </w:tcPr>
          <w:p w14:paraId="469F8871" w14:textId="77777777" w:rsidR="00EC6EA5" w:rsidRPr="00945C9D" w:rsidRDefault="00EC6EA5" w:rsidP="00EC6EA5">
            <w:pPr>
              <w:rPr>
                <w:rFonts w:cs="Arial"/>
                <w:sz w:val="20"/>
                <w:szCs w:val="20"/>
                <w:lang w:val="en-GB"/>
              </w:rPr>
            </w:pPr>
            <w:r w:rsidRPr="00945C9D">
              <w:rPr>
                <w:rFonts w:cs="Arial"/>
                <w:sz w:val="20"/>
                <w:szCs w:val="20"/>
                <w:lang w:val="en-GB"/>
              </w:rPr>
              <w:t>Project Acronym:</w:t>
            </w:r>
          </w:p>
        </w:tc>
        <w:tc>
          <w:tcPr>
            <w:tcW w:w="6704" w:type="dxa"/>
            <w:shd w:val="clear" w:color="auto" w:fill="auto"/>
            <w:vAlign w:val="center"/>
          </w:tcPr>
          <w:p w14:paraId="7142305D" w14:textId="77777777" w:rsidR="00EC6EA5" w:rsidRPr="00945C9D" w:rsidRDefault="00EC6EA5" w:rsidP="00EC6EA5">
            <w:pPr>
              <w:rPr>
                <w:rFonts w:cs="Arial"/>
                <w:sz w:val="20"/>
                <w:szCs w:val="20"/>
                <w:lang w:val="en-GB"/>
              </w:rPr>
            </w:pPr>
            <w:r w:rsidRPr="00945C9D">
              <w:rPr>
                <w:rFonts w:cs="Arial"/>
                <w:sz w:val="20"/>
                <w:szCs w:val="20"/>
                <w:lang w:val="en-GB"/>
              </w:rPr>
              <w:t xml:space="preserve">PT&amp;SCHE </w:t>
            </w:r>
          </w:p>
        </w:tc>
      </w:tr>
      <w:tr w:rsidR="00EC6EA5" w:rsidRPr="000510FE" w14:paraId="676A7B25" w14:textId="77777777" w:rsidTr="00EC6EA5">
        <w:trPr>
          <w:jc w:val="center"/>
        </w:trPr>
        <w:tc>
          <w:tcPr>
            <w:tcW w:w="2476" w:type="dxa"/>
            <w:shd w:val="clear" w:color="auto" w:fill="BFBFBF"/>
            <w:vAlign w:val="center"/>
          </w:tcPr>
          <w:p w14:paraId="0B145EBC" w14:textId="77777777" w:rsidR="00EC6EA5" w:rsidRPr="00945C9D" w:rsidRDefault="00EC6EA5" w:rsidP="00EC6EA5">
            <w:pPr>
              <w:rPr>
                <w:rFonts w:cs="Arial"/>
                <w:sz w:val="20"/>
                <w:szCs w:val="20"/>
                <w:lang w:val="en-GB"/>
              </w:rPr>
            </w:pPr>
            <w:r w:rsidRPr="00945C9D">
              <w:rPr>
                <w:rFonts w:cs="Arial"/>
                <w:sz w:val="20"/>
                <w:szCs w:val="20"/>
                <w:lang w:val="en-GB"/>
              </w:rPr>
              <w:t>Project full title:</w:t>
            </w:r>
          </w:p>
        </w:tc>
        <w:tc>
          <w:tcPr>
            <w:tcW w:w="6704" w:type="dxa"/>
            <w:shd w:val="clear" w:color="auto" w:fill="auto"/>
            <w:vAlign w:val="center"/>
          </w:tcPr>
          <w:p w14:paraId="2782FE82" w14:textId="77777777" w:rsidR="00EC6EA5" w:rsidRPr="00945C9D" w:rsidRDefault="00EC6EA5" w:rsidP="00EC6EA5">
            <w:pPr>
              <w:rPr>
                <w:rFonts w:cs="Arial"/>
                <w:sz w:val="20"/>
                <w:szCs w:val="20"/>
                <w:highlight w:val="yellow"/>
                <w:lang w:val="en-GB" w:eastAsia="hu-HU"/>
              </w:rPr>
            </w:pPr>
            <w:r w:rsidRPr="00945C9D">
              <w:rPr>
                <w:rFonts w:cs="Arial"/>
                <w:sz w:val="20"/>
                <w:szCs w:val="20"/>
                <w:lang w:val="en-GB"/>
              </w:rPr>
              <w:t>The Introduction of part</w:t>
            </w:r>
            <w:r w:rsidRPr="00945C9D">
              <w:rPr>
                <w:rFonts w:ascii="Cambria Math" w:hAnsi="Cambria Math" w:cs="Cambria Math"/>
                <w:sz w:val="20"/>
                <w:szCs w:val="20"/>
                <w:lang w:val="en-GB"/>
              </w:rPr>
              <w:t>‐</w:t>
            </w:r>
            <w:r w:rsidRPr="00945C9D">
              <w:rPr>
                <w:rFonts w:cs="Arial"/>
                <w:sz w:val="20"/>
                <w:szCs w:val="20"/>
                <w:lang w:val="en-GB"/>
              </w:rPr>
              <w:t>time and short cycle studies in Serbia</w:t>
            </w:r>
          </w:p>
        </w:tc>
      </w:tr>
      <w:tr w:rsidR="00EC6EA5" w:rsidRPr="000510FE" w14:paraId="426D14A1" w14:textId="77777777" w:rsidTr="00EC6EA5">
        <w:trPr>
          <w:jc w:val="center"/>
        </w:trPr>
        <w:tc>
          <w:tcPr>
            <w:tcW w:w="2476" w:type="dxa"/>
            <w:shd w:val="clear" w:color="auto" w:fill="BFBFBF"/>
            <w:vAlign w:val="center"/>
          </w:tcPr>
          <w:p w14:paraId="7B0323F0" w14:textId="77777777" w:rsidR="00EC6EA5" w:rsidRPr="00945C9D" w:rsidRDefault="00EC6EA5" w:rsidP="00EC6EA5">
            <w:pPr>
              <w:rPr>
                <w:rFonts w:cs="Arial"/>
                <w:sz w:val="20"/>
                <w:szCs w:val="20"/>
                <w:lang w:val="en-GB" w:eastAsia="hu-HU"/>
              </w:rPr>
            </w:pPr>
            <w:r w:rsidRPr="00945C9D">
              <w:rPr>
                <w:rFonts w:cs="Arial"/>
                <w:sz w:val="20"/>
                <w:szCs w:val="20"/>
                <w:lang w:val="en-GB"/>
              </w:rPr>
              <w:t>Project No:</w:t>
            </w:r>
          </w:p>
        </w:tc>
        <w:tc>
          <w:tcPr>
            <w:tcW w:w="6704" w:type="dxa"/>
            <w:shd w:val="clear" w:color="auto" w:fill="auto"/>
            <w:vAlign w:val="center"/>
          </w:tcPr>
          <w:p w14:paraId="4286A4CD" w14:textId="77777777" w:rsidR="00EC6EA5" w:rsidRPr="00945C9D" w:rsidRDefault="00EC6EA5" w:rsidP="00EC6EA5">
            <w:pPr>
              <w:rPr>
                <w:rFonts w:cs="Arial"/>
                <w:sz w:val="20"/>
                <w:szCs w:val="20"/>
                <w:lang w:val="en-GB" w:eastAsia="hu-HU"/>
              </w:rPr>
            </w:pPr>
            <w:r w:rsidRPr="00994671">
              <w:rPr>
                <w:rFonts w:cs="Arial"/>
                <w:sz w:val="20"/>
                <w:szCs w:val="20"/>
                <w:lang w:val="en-GB"/>
              </w:rPr>
              <w:t>561868-EPP-1-2015-1-EE-EPPKA2-CBHE-SP</w:t>
            </w:r>
          </w:p>
        </w:tc>
      </w:tr>
      <w:tr w:rsidR="00EC6EA5" w:rsidRPr="000510FE" w14:paraId="31D38B63" w14:textId="77777777" w:rsidTr="00EC6EA5">
        <w:trPr>
          <w:jc w:val="center"/>
        </w:trPr>
        <w:tc>
          <w:tcPr>
            <w:tcW w:w="2476" w:type="dxa"/>
            <w:shd w:val="clear" w:color="auto" w:fill="BFBFBF"/>
            <w:vAlign w:val="center"/>
          </w:tcPr>
          <w:p w14:paraId="6DBD3B41" w14:textId="77777777" w:rsidR="00EC6EA5" w:rsidRPr="00945C9D" w:rsidRDefault="00EC6EA5" w:rsidP="00EC6EA5">
            <w:pPr>
              <w:rPr>
                <w:rFonts w:cs="Arial"/>
                <w:sz w:val="20"/>
                <w:szCs w:val="20"/>
                <w:lang w:val="en-GB" w:eastAsia="hu-HU"/>
              </w:rPr>
            </w:pPr>
            <w:r w:rsidRPr="00945C9D">
              <w:rPr>
                <w:rFonts w:cs="Arial"/>
                <w:sz w:val="20"/>
                <w:szCs w:val="20"/>
                <w:lang w:val="en-GB"/>
              </w:rPr>
              <w:t>Funding Scheme:</w:t>
            </w:r>
          </w:p>
        </w:tc>
        <w:tc>
          <w:tcPr>
            <w:tcW w:w="6704" w:type="dxa"/>
            <w:shd w:val="clear" w:color="auto" w:fill="auto"/>
            <w:vAlign w:val="center"/>
          </w:tcPr>
          <w:p w14:paraId="0F97137E" w14:textId="77777777" w:rsidR="00EC6EA5" w:rsidRPr="00945C9D" w:rsidRDefault="00EC6EA5" w:rsidP="00EC6EA5">
            <w:pPr>
              <w:rPr>
                <w:rFonts w:cs="Arial"/>
                <w:sz w:val="20"/>
                <w:szCs w:val="20"/>
                <w:lang w:val="en-GB" w:eastAsia="hu-HU"/>
              </w:rPr>
            </w:pPr>
            <w:r w:rsidRPr="00945C9D">
              <w:rPr>
                <w:rFonts w:cs="Arial"/>
                <w:sz w:val="20"/>
                <w:szCs w:val="20"/>
                <w:lang w:val="en-GB"/>
              </w:rPr>
              <w:t>ERASMUS+</w:t>
            </w:r>
          </w:p>
        </w:tc>
      </w:tr>
      <w:tr w:rsidR="00EC6EA5" w:rsidRPr="000510FE" w14:paraId="0B57F1D0" w14:textId="77777777" w:rsidTr="00EC6EA5">
        <w:trPr>
          <w:jc w:val="center"/>
        </w:trPr>
        <w:tc>
          <w:tcPr>
            <w:tcW w:w="2476" w:type="dxa"/>
            <w:shd w:val="clear" w:color="auto" w:fill="BFBFBF"/>
            <w:vAlign w:val="center"/>
          </w:tcPr>
          <w:p w14:paraId="1B971ACD" w14:textId="77777777" w:rsidR="00EC6EA5" w:rsidRPr="00945C9D" w:rsidRDefault="00EC6EA5" w:rsidP="00EC6EA5">
            <w:pPr>
              <w:rPr>
                <w:rFonts w:cs="Arial"/>
                <w:sz w:val="20"/>
                <w:szCs w:val="20"/>
                <w:lang w:val="en-GB" w:eastAsia="hu-HU"/>
              </w:rPr>
            </w:pPr>
            <w:r w:rsidRPr="00945C9D">
              <w:rPr>
                <w:rFonts w:cs="Arial"/>
                <w:sz w:val="20"/>
                <w:szCs w:val="20"/>
                <w:lang w:val="en-GB"/>
              </w:rPr>
              <w:t>Coordinator:</w:t>
            </w:r>
          </w:p>
        </w:tc>
        <w:tc>
          <w:tcPr>
            <w:tcW w:w="6704" w:type="dxa"/>
            <w:shd w:val="clear" w:color="auto" w:fill="auto"/>
            <w:vAlign w:val="center"/>
          </w:tcPr>
          <w:p w14:paraId="0EEBE90B" w14:textId="77777777" w:rsidR="00EC6EA5" w:rsidRPr="00945C9D" w:rsidRDefault="00EC6EA5" w:rsidP="00EC6EA5">
            <w:pPr>
              <w:rPr>
                <w:rFonts w:cs="Arial"/>
                <w:sz w:val="20"/>
                <w:szCs w:val="20"/>
                <w:highlight w:val="yellow"/>
                <w:lang w:val="en-GB" w:eastAsia="hu-HU"/>
              </w:rPr>
            </w:pPr>
            <w:r w:rsidRPr="00945C9D">
              <w:rPr>
                <w:rFonts w:cs="Arial"/>
                <w:sz w:val="20"/>
                <w:szCs w:val="20"/>
                <w:lang w:val="en-GB" w:eastAsia="hu-HU"/>
              </w:rPr>
              <w:t>Tallinn University, TLU</w:t>
            </w:r>
          </w:p>
        </w:tc>
      </w:tr>
      <w:tr w:rsidR="00EC6EA5" w:rsidRPr="000510FE" w14:paraId="0A0DC9B3" w14:textId="77777777" w:rsidTr="00EC6EA5">
        <w:trPr>
          <w:jc w:val="center"/>
        </w:trPr>
        <w:tc>
          <w:tcPr>
            <w:tcW w:w="2476" w:type="dxa"/>
            <w:shd w:val="clear" w:color="auto" w:fill="BFBFBF"/>
            <w:vAlign w:val="center"/>
          </w:tcPr>
          <w:p w14:paraId="47E46F7C" w14:textId="77777777" w:rsidR="00EC6EA5" w:rsidRPr="00945C9D" w:rsidRDefault="00EC6EA5" w:rsidP="00EC6EA5">
            <w:pPr>
              <w:rPr>
                <w:rFonts w:cs="Arial"/>
                <w:sz w:val="20"/>
                <w:szCs w:val="20"/>
                <w:lang w:val="en-GB" w:eastAsia="hu-HU"/>
              </w:rPr>
            </w:pPr>
            <w:r w:rsidRPr="00945C9D">
              <w:rPr>
                <w:rFonts w:cs="Arial"/>
                <w:sz w:val="20"/>
                <w:szCs w:val="20"/>
                <w:lang w:val="en-GB"/>
              </w:rPr>
              <w:t>Project start date:</w:t>
            </w:r>
          </w:p>
        </w:tc>
        <w:tc>
          <w:tcPr>
            <w:tcW w:w="6704" w:type="dxa"/>
            <w:shd w:val="clear" w:color="auto" w:fill="auto"/>
            <w:vAlign w:val="center"/>
          </w:tcPr>
          <w:p w14:paraId="2195C75C" w14:textId="77777777" w:rsidR="00EC6EA5" w:rsidRPr="00945C9D" w:rsidRDefault="00EC6EA5" w:rsidP="00EC6EA5">
            <w:pPr>
              <w:rPr>
                <w:rFonts w:cs="Arial"/>
                <w:sz w:val="20"/>
                <w:szCs w:val="20"/>
                <w:highlight w:val="yellow"/>
                <w:lang w:val="en-GB" w:eastAsia="hu-HU"/>
              </w:rPr>
            </w:pPr>
            <w:r w:rsidRPr="00EC6EA5">
              <w:rPr>
                <w:rFonts w:cs="Arial"/>
                <w:sz w:val="20"/>
                <w:szCs w:val="20"/>
                <w:lang w:val="en-GB"/>
              </w:rPr>
              <w:t>October 15, 2015</w:t>
            </w:r>
          </w:p>
        </w:tc>
      </w:tr>
      <w:tr w:rsidR="00EC6EA5" w:rsidRPr="000510FE" w14:paraId="265757F6" w14:textId="77777777" w:rsidTr="00EC6EA5">
        <w:trPr>
          <w:jc w:val="center"/>
        </w:trPr>
        <w:tc>
          <w:tcPr>
            <w:tcW w:w="2476" w:type="dxa"/>
            <w:shd w:val="clear" w:color="auto" w:fill="BFBFBF"/>
            <w:vAlign w:val="center"/>
          </w:tcPr>
          <w:p w14:paraId="4DFF911F" w14:textId="77777777" w:rsidR="00EC6EA5" w:rsidRPr="00945C9D" w:rsidRDefault="00EC6EA5" w:rsidP="00EC6EA5">
            <w:pPr>
              <w:rPr>
                <w:rFonts w:cs="Arial"/>
                <w:sz w:val="20"/>
                <w:szCs w:val="20"/>
                <w:lang w:val="en-GB" w:eastAsia="hu-HU"/>
              </w:rPr>
            </w:pPr>
            <w:r w:rsidRPr="00945C9D">
              <w:rPr>
                <w:rFonts w:cs="Arial"/>
                <w:sz w:val="20"/>
                <w:szCs w:val="20"/>
                <w:lang w:val="en-GB"/>
              </w:rPr>
              <w:t>Project duration:</w:t>
            </w:r>
          </w:p>
        </w:tc>
        <w:tc>
          <w:tcPr>
            <w:tcW w:w="6704" w:type="dxa"/>
            <w:shd w:val="clear" w:color="auto" w:fill="auto"/>
            <w:vAlign w:val="center"/>
          </w:tcPr>
          <w:p w14:paraId="606F3BD6" w14:textId="77777777" w:rsidR="00EC6EA5" w:rsidRPr="00945C9D" w:rsidRDefault="00EC6EA5" w:rsidP="00EC6EA5">
            <w:pPr>
              <w:rPr>
                <w:rFonts w:cs="Arial"/>
                <w:sz w:val="20"/>
                <w:szCs w:val="20"/>
                <w:highlight w:val="yellow"/>
                <w:lang w:val="en-GB" w:eastAsia="hu-HU"/>
              </w:rPr>
            </w:pPr>
            <w:r w:rsidRPr="00945C9D">
              <w:rPr>
                <w:rFonts w:cs="Arial"/>
                <w:sz w:val="20"/>
                <w:szCs w:val="20"/>
                <w:lang w:val="en-GB"/>
              </w:rPr>
              <w:t>36 months</w:t>
            </w:r>
          </w:p>
        </w:tc>
      </w:tr>
    </w:tbl>
    <w:p w14:paraId="7FD63C53" w14:textId="77777777" w:rsidR="00EC6EA5" w:rsidRDefault="00EC6EA5" w:rsidP="00EC6EA5">
      <w:pPr>
        <w:jc w:val="center"/>
        <w:rPr>
          <w:rFonts w:ascii="Times New Roman" w:eastAsia="Calibri" w:hAnsi="Times New Roman" w:cs="Arial"/>
          <w:b/>
          <w:lang w:val="en-GB" w:eastAsia="de-DE"/>
        </w:rPr>
      </w:pPr>
    </w:p>
    <w:p w14:paraId="58D532B0" w14:textId="77777777" w:rsidR="00EC6EA5" w:rsidRPr="000510FE" w:rsidRDefault="00EC6EA5" w:rsidP="00EC6EA5">
      <w:pPr>
        <w:jc w:val="center"/>
        <w:rPr>
          <w:rFonts w:ascii="Times New Roman" w:eastAsia="Calibri" w:hAnsi="Times New Roman" w:cs="Arial"/>
          <w:b/>
          <w:lang w:val="en-GB" w:eastAsia="de-DE"/>
        </w:rPr>
      </w:pPr>
    </w:p>
    <w:p w14:paraId="06067191" w14:textId="77777777" w:rsidR="00EC6EA5" w:rsidRDefault="00EC6EA5" w:rsidP="00EC6EA5">
      <w:pPr>
        <w:jc w:val="center"/>
        <w:rPr>
          <w:rFonts w:eastAsia="Times New Roman" w:cs="Arial"/>
          <w:bCs/>
          <w:i/>
          <w:sz w:val="20"/>
          <w:lang w:eastAsia="de-DE"/>
        </w:rPr>
      </w:pPr>
      <w:r>
        <w:rPr>
          <w:rFonts w:eastAsia="Times New Roman" w:cs="Arial"/>
          <w:bCs/>
          <w:i/>
          <w:sz w:val="20"/>
          <w:lang w:eastAsia="de-DE"/>
        </w:rPr>
        <w:t>"The European Commission support for the production of this publication does not constitute an endorsement of the contents which reflects the views only of the authors, and the Commission cannot be held responsi</w:t>
      </w:r>
      <w:r>
        <w:rPr>
          <w:rFonts w:eastAsia="Times New Roman" w:cs="Arial"/>
          <w:bCs/>
          <w:i/>
          <w:sz w:val="20"/>
          <w:lang w:eastAsia="de-DE"/>
        </w:rPr>
        <w:softHyphen/>
        <w:t>ble for any use which may be made of the information contained therein."</w:t>
      </w:r>
    </w:p>
    <w:p w14:paraId="403F832B" w14:textId="77777777" w:rsidR="00EC6EA5" w:rsidRPr="00434EAA" w:rsidRDefault="00EC6EA5" w:rsidP="00EC6EA5">
      <w:pPr>
        <w:jc w:val="center"/>
        <w:rPr>
          <w:rFonts w:ascii="Times New Roman" w:eastAsia="Calibri" w:hAnsi="Times New Roman" w:cs="Arial"/>
          <w:b/>
          <w:lang w:eastAsia="de-DE"/>
        </w:rPr>
      </w:pPr>
    </w:p>
    <w:p w14:paraId="5F97EB00" w14:textId="77777777" w:rsidR="00EC6EA5" w:rsidRPr="000510FE" w:rsidRDefault="00EC6EA5" w:rsidP="00EC6EA5">
      <w:pPr>
        <w:jc w:val="center"/>
        <w:rPr>
          <w:rFonts w:ascii="Times New Roman" w:eastAsia="Calibri" w:hAnsi="Times New Roman" w:cs="Arial"/>
          <w:b/>
          <w:lang w:val="en-GB" w:eastAsia="de-DE"/>
        </w:rPr>
      </w:pPr>
    </w:p>
    <w:p w14:paraId="621F4BCB" w14:textId="77777777" w:rsidR="00EC6EA5" w:rsidRPr="000510FE" w:rsidRDefault="00EC6EA5" w:rsidP="00EC6EA5">
      <w:pPr>
        <w:jc w:val="center"/>
        <w:rPr>
          <w:rFonts w:ascii="Times New Roman" w:eastAsia="Calibri" w:hAnsi="Times New Roman" w:cs="Arial"/>
          <w:b/>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60" w:firstRow="1" w:lastRow="1" w:firstColumn="0" w:lastColumn="0" w:noHBand="0" w:noVBand="0"/>
      </w:tblPr>
      <w:tblGrid>
        <w:gridCol w:w="2476"/>
        <w:gridCol w:w="6704"/>
      </w:tblGrid>
      <w:tr w:rsidR="00EC6EA5" w:rsidRPr="000510FE" w14:paraId="07050F96" w14:textId="77777777" w:rsidTr="00EC6EA5">
        <w:trPr>
          <w:trHeight w:val="230"/>
          <w:jc w:val="center"/>
        </w:trPr>
        <w:tc>
          <w:tcPr>
            <w:tcW w:w="2476" w:type="dxa"/>
            <w:shd w:val="clear" w:color="auto" w:fill="BFBFBF" w:themeFill="background1" w:themeFillShade="BF"/>
            <w:vAlign w:val="center"/>
          </w:tcPr>
          <w:p w14:paraId="65ABA10E" w14:textId="77777777" w:rsidR="00EC6EA5" w:rsidRPr="000510FE" w:rsidRDefault="00EC6EA5" w:rsidP="00EC6EA5">
            <w:pPr>
              <w:rPr>
                <w:lang w:val="en-GB"/>
              </w:rPr>
            </w:pPr>
            <w:r w:rsidRPr="000510FE">
              <w:rPr>
                <w:lang w:val="en-GB"/>
              </w:rPr>
              <w:t>Abstract</w:t>
            </w:r>
          </w:p>
          <w:p w14:paraId="044E8F06" w14:textId="77777777" w:rsidR="00EC6EA5" w:rsidRPr="000510FE" w:rsidRDefault="00EC6EA5" w:rsidP="00EC6EA5">
            <w:pPr>
              <w:rPr>
                <w:lang w:val="en-GB"/>
              </w:rPr>
            </w:pPr>
          </w:p>
        </w:tc>
        <w:tc>
          <w:tcPr>
            <w:tcW w:w="6704" w:type="dxa"/>
            <w:shd w:val="clear" w:color="auto" w:fill="auto"/>
            <w:vAlign w:val="center"/>
          </w:tcPr>
          <w:p w14:paraId="3C895DD3" w14:textId="3C9CF9FB" w:rsidR="00EC6EA5" w:rsidRDefault="00CD0B13" w:rsidP="00EC6EA5">
            <w:pPr>
              <w:rPr>
                <w:lang w:val="en-GB"/>
              </w:rPr>
            </w:pPr>
            <w:r>
              <w:rPr>
                <w:lang w:val="en-GB"/>
              </w:rPr>
              <w:t>This</w:t>
            </w:r>
            <w:r w:rsidR="00EC6EA5">
              <w:rPr>
                <w:lang w:val="en-GB"/>
              </w:rPr>
              <w:t xml:space="preserve"> working document </w:t>
            </w:r>
            <w:r>
              <w:rPr>
                <w:lang w:val="en-GB"/>
              </w:rPr>
              <w:t xml:space="preserve">is </w:t>
            </w:r>
            <w:r w:rsidR="00EC6EA5">
              <w:rPr>
                <w:lang w:val="en-GB"/>
              </w:rPr>
              <w:t>planned to contribute the development</w:t>
            </w:r>
            <w:r w:rsidR="007B5203">
              <w:rPr>
                <w:lang w:val="en-GB"/>
              </w:rPr>
              <w:t xml:space="preserve"> the final deliverable from WP2.5. It proposes concepts</w:t>
            </w:r>
            <w:r>
              <w:rPr>
                <w:lang w:val="en-GB"/>
              </w:rPr>
              <w:t xml:space="preserve"> of PT studies </w:t>
            </w:r>
            <w:r w:rsidR="007B5203">
              <w:rPr>
                <w:lang w:val="en-GB"/>
              </w:rPr>
              <w:t xml:space="preserve"> that should be introduced in this</w:t>
            </w:r>
            <w:r>
              <w:rPr>
                <w:lang w:val="en-GB"/>
              </w:rPr>
              <w:t xml:space="preserve"> final document. So, this is the base</w:t>
            </w:r>
            <w:r w:rsidR="007B5203">
              <w:rPr>
                <w:lang w:val="en-GB"/>
              </w:rPr>
              <w:t xml:space="preserve"> for development of the final deliverable.</w:t>
            </w:r>
          </w:p>
          <w:p w14:paraId="54D19319" w14:textId="0BDE0637" w:rsidR="00EC6EA5" w:rsidRPr="000510FE" w:rsidRDefault="00EC6EA5" w:rsidP="00EC6EA5">
            <w:pPr>
              <w:rPr>
                <w:lang w:val="en-GB"/>
              </w:rPr>
            </w:pPr>
          </w:p>
        </w:tc>
      </w:tr>
    </w:tbl>
    <w:p w14:paraId="68339760" w14:textId="77777777" w:rsidR="00EC6EA5" w:rsidRDefault="00EC6EA5" w:rsidP="00EC6EA5">
      <w:bookmarkStart w:id="0" w:name="_Toc347927424"/>
      <w:bookmarkStart w:id="1" w:name="_Toc437508904"/>
    </w:p>
    <w:bookmarkEnd w:id="0"/>
    <w:bookmarkEnd w:id="1"/>
    <w:p w14:paraId="1E432C52" w14:textId="77777777" w:rsidR="00EC6EA5" w:rsidRDefault="00EC6EA5" w:rsidP="00EC6EA5">
      <w:pPr>
        <w:rPr>
          <w:rFonts w:eastAsia="Calibri" w:cs="Arial"/>
          <w:bCs/>
          <w:sz w:val="20"/>
          <w:szCs w:val="20"/>
          <w:lang w:val="en-GB" w:eastAsia="de-DE"/>
        </w:rPr>
      </w:pPr>
    </w:p>
    <w:p w14:paraId="0CE57913" w14:textId="77777777" w:rsidR="00EC6EA5" w:rsidRDefault="00EC6EA5" w:rsidP="00EC6EA5"/>
    <w:p w14:paraId="5A627BC2" w14:textId="77777777" w:rsidR="00EC6EA5" w:rsidRDefault="00EC6EA5" w:rsidP="00EC6EA5"/>
    <w:p w14:paraId="12081597" w14:textId="77777777" w:rsidR="00EC6EA5" w:rsidRDefault="00EC6EA5" w:rsidP="00EC6EA5">
      <w:r>
        <w:t xml:space="preserve">VERSIONING AND CONTRIBUTION HISTORY </w:t>
      </w:r>
    </w:p>
    <w:p w14:paraId="5B31067D" w14:textId="77777777" w:rsidR="00EC6EA5" w:rsidRPr="000510FE" w:rsidRDefault="00EC6EA5" w:rsidP="00EC6EA5">
      <w:pPr>
        <w:rPr>
          <w:rFonts w:eastAsia="Calibri" w:cs="Arial"/>
          <w:bCs/>
          <w:sz w:val="20"/>
          <w:szCs w:val="20"/>
          <w:lang w:val="en-GB" w:eastAsia="de-DE"/>
        </w:rPr>
      </w:pPr>
    </w:p>
    <w:tbl>
      <w:tblPr>
        <w:tblW w:w="92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8"/>
        <w:gridCol w:w="1997"/>
        <w:gridCol w:w="3243"/>
        <w:gridCol w:w="2620"/>
      </w:tblGrid>
      <w:tr w:rsidR="00EC6EA5" w14:paraId="598BD292" w14:textId="77777777" w:rsidTr="00EC6EA5">
        <w:trPr>
          <w:trHeight w:val="310"/>
          <w:jc w:val="center"/>
        </w:trPr>
        <w:tc>
          <w:tcPr>
            <w:tcW w:w="142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02D2D1F0" w14:textId="77777777" w:rsidR="00EC6EA5" w:rsidRDefault="00EC6EA5" w:rsidP="00EC6EA5">
            <w:pPr>
              <w:rPr>
                <w:lang w:val="en-GB"/>
              </w:rPr>
            </w:pPr>
            <w:r>
              <w:rPr>
                <w:lang w:val="en-GB"/>
              </w:rPr>
              <w:t>Version</w:t>
            </w:r>
          </w:p>
        </w:tc>
        <w:tc>
          <w:tcPr>
            <w:tcW w:w="199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6CCCA692" w14:textId="77777777" w:rsidR="00EC6EA5" w:rsidRDefault="00EC6EA5" w:rsidP="00EC6EA5">
            <w:pPr>
              <w:rPr>
                <w:lang w:val="en-GB"/>
              </w:rPr>
            </w:pPr>
            <w:r>
              <w:rPr>
                <w:lang w:val="en-GB"/>
              </w:rPr>
              <w:t>Date</w:t>
            </w:r>
          </w:p>
        </w:tc>
        <w:tc>
          <w:tcPr>
            <w:tcW w:w="3243"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021F2CB3" w14:textId="77777777" w:rsidR="00EC6EA5" w:rsidRDefault="00EC6EA5" w:rsidP="00EC6EA5">
            <w:pPr>
              <w:rPr>
                <w:lang w:val="en-GB"/>
              </w:rPr>
            </w:pPr>
            <w:r>
              <w:rPr>
                <w:lang w:val="en-GB"/>
              </w:rPr>
              <w:t>Revision Description</w:t>
            </w:r>
          </w:p>
        </w:tc>
        <w:tc>
          <w:tcPr>
            <w:tcW w:w="262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01028A99" w14:textId="77777777" w:rsidR="00EC6EA5" w:rsidRDefault="00EC6EA5" w:rsidP="00EC6EA5">
            <w:pPr>
              <w:rPr>
                <w:lang w:val="en-GB"/>
              </w:rPr>
            </w:pPr>
            <w:r>
              <w:rPr>
                <w:lang w:val="en-GB"/>
              </w:rPr>
              <w:t xml:space="preserve">Partner responsible </w:t>
            </w:r>
          </w:p>
        </w:tc>
      </w:tr>
      <w:tr w:rsidR="00EC6EA5" w14:paraId="661EA248" w14:textId="77777777" w:rsidTr="00EC6EA5">
        <w:trPr>
          <w:trHeight w:val="310"/>
          <w:jc w:val="center"/>
        </w:trPr>
        <w:tc>
          <w:tcPr>
            <w:tcW w:w="1428" w:type="dxa"/>
            <w:tcBorders>
              <w:top w:val="single" w:sz="8" w:space="0" w:color="auto"/>
              <w:left w:val="single" w:sz="8" w:space="0" w:color="auto"/>
              <w:bottom w:val="single" w:sz="8" w:space="0" w:color="auto"/>
              <w:right w:val="single" w:sz="8" w:space="0" w:color="auto"/>
            </w:tcBorders>
            <w:vAlign w:val="center"/>
          </w:tcPr>
          <w:p w14:paraId="641A0459" w14:textId="246EB93C" w:rsidR="00EC6EA5" w:rsidRDefault="00EC6EA5" w:rsidP="00EC6EA5">
            <w:pPr>
              <w:rPr>
                <w:lang w:val="en-GB"/>
              </w:rPr>
            </w:pPr>
            <w:r>
              <w:rPr>
                <w:lang w:val="en-GB"/>
              </w:rPr>
              <w:t>1.0</w:t>
            </w:r>
            <w:bookmarkStart w:id="2" w:name="_GoBack"/>
            <w:bookmarkEnd w:id="2"/>
          </w:p>
        </w:tc>
        <w:tc>
          <w:tcPr>
            <w:tcW w:w="1997" w:type="dxa"/>
            <w:tcBorders>
              <w:top w:val="single" w:sz="8" w:space="0" w:color="auto"/>
              <w:left w:val="single" w:sz="8" w:space="0" w:color="auto"/>
              <w:bottom w:val="single" w:sz="8" w:space="0" w:color="auto"/>
              <w:right w:val="single" w:sz="8" w:space="0" w:color="auto"/>
            </w:tcBorders>
            <w:vAlign w:val="center"/>
          </w:tcPr>
          <w:p w14:paraId="5525A4D8" w14:textId="3E467019" w:rsidR="00EC6EA5" w:rsidRDefault="00A02C4D" w:rsidP="00EC6EA5">
            <w:pPr>
              <w:rPr>
                <w:lang w:val="en-GB"/>
              </w:rPr>
            </w:pPr>
            <w:r>
              <w:rPr>
                <w:lang w:val="en-GB"/>
              </w:rPr>
              <w:t>15</w:t>
            </w:r>
            <w:r w:rsidR="00EC6EA5">
              <w:rPr>
                <w:lang w:val="en-GB"/>
              </w:rPr>
              <w:t>.1</w:t>
            </w:r>
            <w:r>
              <w:rPr>
                <w:lang w:val="en-GB"/>
              </w:rPr>
              <w:t>2.2016</w:t>
            </w:r>
          </w:p>
        </w:tc>
        <w:tc>
          <w:tcPr>
            <w:tcW w:w="3243" w:type="dxa"/>
            <w:tcBorders>
              <w:top w:val="single" w:sz="8" w:space="0" w:color="auto"/>
              <w:left w:val="single" w:sz="8" w:space="0" w:color="auto"/>
              <w:bottom w:val="single" w:sz="8" w:space="0" w:color="auto"/>
              <w:right w:val="single" w:sz="8" w:space="0" w:color="auto"/>
            </w:tcBorders>
            <w:vAlign w:val="center"/>
          </w:tcPr>
          <w:p w14:paraId="2031DC7F" w14:textId="46C50B49" w:rsidR="00EC6EA5" w:rsidRDefault="00EC6EA5" w:rsidP="00EC6EA5">
            <w:pPr>
              <w:rPr>
                <w:lang w:val="en-GB"/>
              </w:rPr>
            </w:pPr>
            <w:r>
              <w:rPr>
                <w:lang w:val="en-GB"/>
              </w:rPr>
              <w:t>Initial version</w:t>
            </w:r>
          </w:p>
        </w:tc>
        <w:tc>
          <w:tcPr>
            <w:tcW w:w="2620" w:type="dxa"/>
            <w:tcBorders>
              <w:top w:val="single" w:sz="8" w:space="0" w:color="auto"/>
              <w:left w:val="single" w:sz="8" w:space="0" w:color="auto"/>
              <w:bottom w:val="single" w:sz="8" w:space="0" w:color="auto"/>
              <w:right w:val="single" w:sz="8" w:space="0" w:color="auto"/>
            </w:tcBorders>
            <w:vAlign w:val="center"/>
          </w:tcPr>
          <w:p w14:paraId="33E4A870" w14:textId="104EDD38" w:rsidR="00EC6EA5" w:rsidRDefault="00EC6EA5" w:rsidP="00EC6EA5">
            <w:pPr>
              <w:rPr>
                <w:lang w:val="en-GB"/>
              </w:rPr>
            </w:pPr>
            <w:r>
              <w:rPr>
                <w:lang w:val="en-GB"/>
              </w:rPr>
              <w:t>BMU (D.Domazet)</w:t>
            </w:r>
          </w:p>
        </w:tc>
      </w:tr>
      <w:tr w:rsidR="00EC6EA5" w14:paraId="7FCC3846" w14:textId="77777777" w:rsidTr="00EC6EA5">
        <w:trPr>
          <w:trHeight w:val="310"/>
          <w:jc w:val="center"/>
        </w:trPr>
        <w:tc>
          <w:tcPr>
            <w:tcW w:w="1428" w:type="dxa"/>
            <w:tcBorders>
              <w:top w:val="single" w:sz="8" w:space="0" w:color="auto"/>
              <w:left w:val="single" w:sz="8" w:space="0" w:color="auto"/>
              <w:bottom w:val="single" w:sz="8" w:space="0" w:color="auto"/>
              <w:right w:val="single" w:sz="8" w:space="0" w:color="auto"/>
            </w:tcBorders>
            <w:vAlign w:val="center"/>
          </w:tcPr>
          <w:p w14:paraId="40449CF1" w14:textId="643DF304" w:rsidR="00EC6EA5" w:rsidRDefault="00EC6EA5" w:rsidP="00EC6EA5">
            <w:pPr>
              <w:rPr>
                <w:lang w:val="en-GB"/>
              </w:rPr>
            </w:pPr>
            <w:r>
              <w:rPr>
                <w:lang w:val="en-GB"/>
              </w:rPr>
              <w:t>2.0</w:t>
            </w:r>
          </w:p>
        </w:tc>
        <w:tc>
          <w:tcPr>
            <w:tcW w:w="1997" w:type="dxa"/>
            <w:tcBorders>
              <w:top w:val="single" w:sz="8" w:space="0" w:color="auto"/>
              <w:left w:val="single" w:sz="8" w:space="0" w:color="auto"/>
              <w:bottom w:val="single" w:sz="8" w:space="0" w:color="auto"/>
              <w:right w:val="single" w:sz="8" w:space="0" w:color="auto"/>
            </w:tcBorders>
            <w:vAlign w:val="center"/>
          </w:tcPr>
          <w:p w14:paraId="23459BE6" w14:textId="50BF0CAF" w:rsidR="00EC6EA5" w:rsidRDefault="00A02C4D" w:rsidP="00EC6EA5">
            <w:pPr>
              <w:rPr>
                <w:lang w:val="en-GB"/>
              </w:rPr>
            </w:pPr>
            <w:r>
              <w:rPr>
                <w:lang w:val="en-GB"/>
              </w:rPr>
              <w:t>5.1.2017</w:t>
            </w:r>
          </w:p>
        </w:tc>
        <w:tc>
          <w:tcPr>
            <w:tcW w:w="3243" w:type="dxa"/>
            <w:tcBorders>
              <w:top w:val="single" w:sz="8" w:space="0" w:color="auto"/>
              <w:left w:val="single" w:sz="8" w:space="0" w:color="auto"/>
              <w:bottom w:val="single" w:sz="8" w:space="0" w:color="auto"/>
              <w:right w:val="single" w:sz="8" w:space="0" w:color="auto"/>
            </w:tcBorders>
            <w:vAlign w:val="center"/>
          </w:tcPr>
          <w:p w14:paraId="407A91EF" w14:textId="2F4743C1" w:rsidR="00EC6EA5" w:rsidRDefault="00A02C4D" w:rsidP="00EC6EA5">
            <w:pPr>
              <w:rPr>
                <w:lang w:val="en-GB"/>
              </w:rPr>
            </w:pPr>
            <w:r>
              <w:rPr>
                <w:lang w:val="en-GB"/>
              </w:rPr>
              <w:t>Final proposal</w:t>
            </w:r>
          </w:p>
        </w:tc>
        <w:tc>
          <w:tcPr>
            <w:tcW w:w="2620" w:type="dxa"/>
            <w:tcBorders>
              <w:top w:val="single" w:sz="8" w:space="0" w:color="auto"/>
              <w:left w:val="single" w:sz="8" w:space="0" w:color="auto"/>
              <w:bottom w:val="single" w:sz="8" w:space="0" w:color="auto"/>
              <w:right w:val="single" w:sz="8" w:space="0" w:color="auto"/>
            </w:tcBorders>
            <w:vAlign w:val="center"/>
          </w:tcPr>
          <w:p w14:paraId="393D4D53" w14:textId="60BC7FB7" w:rsidR="00EC6EA5" w:rsidRDefault="00A02C4D" w:rsidP="00EC6EA5">
            <w:pPr>
              <w:rPr>
                <w:lang w:val="en-GB"/>
              </w:rPr>
            </w:pPr>
            <w:r>
              <w:rPr>
                <w:lang w:val="en-GB"/>
              </w:rPr>
              <w:t>BMU (D.Domazet)</w:t>
            </w:r>
          </w:p>
        </w:tc>
      </w:tr>
      <w:tr w:rsidR="00EC6EA5" w14:paraId="477972BC" w14:textId="77777777" w:rsidTr="00EC6EA5">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5897CE70" w14:textId="1A039E8A" w:rsidR="00EC6EA5" w:rsidRDefault="00EC6EA5" w:rsidP="00EC6EA5">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52D78603" w14:textId="69451355" w:rsidR="00EC6EA5" w:rsidRDefault="00EC6EA5" w:rsidP="00EC6EA5">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313D0D70" w14:textId="69CC9A37" w:rsidR="00EC6EA5" w:rsidRDefault="00EC6EA5" w:rsidP="00EC6EA5">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0E394E31" w14:textId="05A01830" w:rsidR="00EC6EA5" w:rsidRDefault="00EC6EA5" w:rsidP="00EC6EA5">
            <w:pPr>
              <w:rPr>
                <w:lang w:val="en-GB"/>
              </w:rPr>
            </w:pPr>
          </w:p>
        </w:tc>
      </w:tr>
      <w:tr w:rsidR="00EC6EA5" w14:paraId="36800CF0" w14:textId="77777777" w:rsidTr="00EC6EA5">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19337456" w14:textId="6EF37589" w:rsidR="00EC6EA5" w:rsidRDefault="00EC6EA5" w:rsidP="00EC6EA5">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6602B924" w14:textId="75AFA901" w:rsidR="00EC6EA5" w:rsidRDefault="00EC6EA5" w:rsidP="00EC6EA5">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1185993C" w14:textId="67244673" w:rsidR="00EC6EA5" w:rsidRDefault="00EC6EA5" w:rsidP="00EC6EA5">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4D544FA3" w14:textId="17E5D4E0" w:rsidR="00EC6EA5" w:rsidRDefault="00EC6EA5" w:rsidP="00EC6EA5">
            <w:pPr>
              <w:rPr>
                <w:lang w:val="en-GB"/>
              </w:rPr>
            </w:pPr>
          </w:p>
        </w:tc>
      </w:tr>
      <w:tr w:rsidR="00EC6EA5" w14:paraId="15A69864" w14:textId="77777777" w:rsidTr="00EC6EA5">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697D1C2A" w14:textId="59CBFAAF" w:rsidR="00EC6EA5" w:rsidRDefault="00EC6EA5" w:rsidP="00EC6EA5">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7FAE744F" w14:textId="3F206B95" w:rsidR="00EC6EA5" w:rsidRDefault="00EC6EA5" w:rsidP="00EC6EA5">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62B100F8" w14:textId="126B72D1" w:rsidR="00EC6EA5" w:rsidRDefault="00EC6EA5" w:rsidP="00EC6EA5">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3B7F171D" w14:textId="0CF0F173" w:rsidR="00EC6EA5" w:rsidRDefault="00EC6EA5" w:rsidP="00EC6EA5">
            <w:pPr>
              <w:rPr>
                <w:lang w:val="en-GB"/>
              </w:rPr>
            </w:pPr>
          </w:p>
        </w:tc>
      </w:tr>
      <w:tr w:rsidR="00EC6EA5" w14:paraId="425AA1FF" w14:textId="77777777" w:rsidTr="00EC6EA5">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3330FA89" w14:textId="12D57299" w:rsidR="00EC6EA5" w:rsidRDefault="00EC6EA5" w:rsidP="00EC6EA5">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79083B2C" w14:textId="2CF6CAF9" w:rsidR="00EC6EA5" w:rsidRDefault="00EC6EA5" w:rsidP="00EC6EA5">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4BD30C48" w14:textId="6688E645" w:rsidR="00EC6EA5" w:rsidRDefault="00EC6EA5" w:rsidP="00EC6EA5">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7A8B0563" w14:textId="015CF753" w:rsidR="00EC6EA5" w:rsidRDefault="00EC6EA5" w:rsidP="00EC6EA5">
            <w:pPr>
              <w:rPr>
                <w:lang w:val="en-GB"/>
              </w:rPr>
            </w:pPr>
          </w:p>
        </w:tc>
      </w:tr>
      <w:tr w:rsidR="00EC6EA5" w14:paraId="71F7F201" w14:textId="77777777" w:rsidTr="00EC6EA5">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2A05975E" w14:textId="5A1DDD2E" w:rsidR="00EC6EA5" w:rsidRDefault="00EC6EA5" w:rsidP="00EC6EA5">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338CC1EC" w14:textId="5158E389" w:rsidR="00EC6EA5" w:rsidRDefault="00EC6EA5" w:rsidP="00EC6EA5">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39F84D3B" w14:textId="306FF00D" w:rsidR="00EC6EA5" w:rsidRDefault="00EC6EA5" w:rsidP="00EC6EA5">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05B7A9C1" w14:textId="219A1DA4" w:rsidR="00EC6EA5" w:rsidRDefault="00EC6EA5" w:rsidP="00EC6EA5">
            <w:pPr>
              <w:rPr>
                <w:lang w:val="en-GB"/>
              </w:rPr>
            </w:pPr>
          </w:p>
        </w:tc>
      </w:tr>
      <w:tr w:rsidR="00EC6EA5" w14:paraId="5C86A838" w14:textId="77777777" w:rsidTr="00EC6EA5">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500C0699" w14:textId="4AAC3B91" w:rsidR="00EC6EA5" w:rsidRDefault="00EC6EA5" w:rsidP="00EC6EA5">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78660DB2" w14:textId="0BBF7305" w:rsidR="00EC6EA5" w:rsidRDefault="00EC6EA5" w:rsidP="00EC6EA5">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7E285800" w14:textId="0F5A06B1" w:rsidR="00EC6EA5" w:rsidRDefault="00EC6EA5" w:rsidP="00EC6EA5">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6CC4FF65" w14:textId="46BB0274" w:rsidR="00EC6EA5" w:rsidRDefault="00EC6EA5" w:rsidP="00EC6EA5">
            <w:pPr>
              <w:rPr>
                <w:lang w:val="en-GB"/>
              </w:rPr>
            </w:pPr>
          </w:p>
        </w:tc>
      </w:tr>
      <w:tr w:rsidR="00EC6EA5" w14:paraId="2E8CAE6E" w14:textId="77777777" w:rsidTr="00EC6EA5">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34F06727" w14:textId="49F26033" w:rsidR="00EC6EA5" w:rsidRDefault="00EC6EA5" w:rsidP="00EC6EA5">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05B211D9" w14:textId="20F74A84" w:rsidR="00EC6EA5" w:rsidRDefault="00EC6EA5" w:rsidP="00EC6EA5">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1B635AAC" w14:textId="65B9B8E6" w:rsidR="00EC6EA5" w:rsidRDefault="00EC6EA5" w:rsidP="00EC6EA5">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4D9A2BBC" w14:textId="4C75FEB8" w:rsidR="00EC6EA5" w:rsidRDefault="00EC6EA5" w:rsidP="00EC6EA5">
            <w:pPr>
              <w:rPr>
                <w:lang w:val="en-GB"/>
              </w:rPr>
            </w:pPr>
          </w:p>
        </w:tc>
      </w:tr>
      <w:tr w:rsidR="00EC6EA5" w14:paraId="7128F2E1" w14:textId="77777777" w:rsidTr="00EC6EA5">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660C7159" w14:textId="2CCEB7E6" w:rsidR="00EC6EA5" w:rsidRDefault="00EC6EA5" w:rsidP="00EC6EA5">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066556CD" w14:textId="44989667" w:rsidR="00EC6EA5" w:rsidRDefault="00EC6EA5" w:rsidP="00EC6EA5">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78BFA66C" w14:textId="1F596C33" w:rsidR="00EC6EA5" w:rsidRDefault="00EC6EA5" w:rsidP="00EC6EA5">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6B608706" w14:textId="726171D8" w:rsidR="00EC6EA5" w:rsidRDefault="00EC6EA5" w:rsidP="00EC6EA5">
            <w:pPr>
              <w:rPr>
                <w:lang w:val="en-GB"/>
              </w:rPr>
            </w:pPr>
          </w:p>
        </w:tc>
      </w:tr>
      <w:tr w:rsidR="00EC6EA5" w14:paraId="560DC66E" w14:textId="77777777" w:rsidTr="00EC6EA5">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4AFA8BC3" w14:textId="77777777" w:rsidR="00EC6EA5" w:rsidRDefault="00EC6EA5" w:rsidP="00EC6EA5">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08D09295" w14:textId="712C7652" w:rsidR="00EC6EA5" w:rsidRDefault="00EC6EA5" w:rsidP="00EC6EA5">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44941055" w14:textId="5325EE1B" w:rsidR="00EC6EA5" w:rsidRDefault="00EC6EA5" w:rsidP="00EC6EA5">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7F435B2D" w14:textId="1171BB2A" w:rsidR="00EC6EA5" w:rsidRDefault="00EC6EA5" w:rsidP="00EC6EA5">
            <w:pPr>
              <w:rPr>
                <w:lang w:val="en-GB"/>
              </w:rPr>
            </w:pPr>
          </w:p>
        </w:tc>
      </w:tr>
      <w:tr w:rsidR="00EC6EA5" w14:paraId="4FF9F86D" w14:textId="77777777" w:rsidTr="00EC6EA5">
        <w:trPr>
          <w:trHeight w:val="313"/>
          <w:jc w:val="center"/>
        </w:trPr>
        <w:tc>
          <w:tcPr>
            <w:tcW w:w="1428" w:type="dxa"/>
            <w:tcBorders>
              <w:top w:val="single" w:sz="8" w:space="0" w:color="auto"/>
              <w:left w:val="single" w:sz="8" w:space="0" w:color="auto"/>
              <w:bottom w:val="single" w:sz="8" w:space="0" w:color="auto"/>
              <w:right w:val="single" w:sz="8" w:space="0" w:color="auto"/>
            </w:tcBorders>
            <w:vAlign w:val="center"/>
          </w:tcPr>
          <w:p w14:paraId="6982582E" w14:textId="77777777" w:rsidR="00EC6EA5" w:rsidRDefault="00EC6EA5" w:rsidP="00EC6EA5">
            <w:pPr>
              <w:rPr>
                <w:lang w:val="en-GB"/>
              </w:rPr>
            </w:pPr>
          </w:p>
        </w:tc>
        <w:tc>
          <w:tcPr>
            <w:tcW w:w="1997" w:type="dxa"/>
            <w:tcBorders>
              <w:top w:val="single" w:sz="8" w:space="0" w:color="auto"/>
              <w:left w:val="single" w:sz="8" w:space="0" w:color="auto"/>
              <w:bottom w:val="single" w:sz="8" w:space="0" w:color="auto"/>
              <w:right w:val="single" w:sz="8" w:space="0" w:color="auto"/>
            </w:tcBorders>
            <w:vAlign w:val="center"/>
          </w:tcPr>
          <w:p w14:paraId="487DBDF8" w14:textId="6A17516F" w:rsidR="00EC6EA5" w:rsidRDefault="00EC6EA5" w:rsidP="00EC6EA5">
            <w:pPr>
              <w:rPr>
                <w:lang w:val="en-GB"/>
              </w:rPr>
            </w:pPr>
          </w:p>
        </w:tc>
        <w:tc>
          <w:tcPr>
            <w:tcW w:w="3243" w:type="dxa"/>
            <w:tcBorders>
              <w:top w:val="single" w:sz="8" w:space="0" w:color="auto"/>
              <w:left w:val="single" w:sz="8" w:space="0" w:color="auto"/>
              <w:bottom w:val="single" w:sz="8" w:space="0" w:color="auto"/>
              <w:right w:val="single" w:sz="8" w:space="0" w:color="auto"/>
            </w:tcBorders>
            <w:vAlign w:val="center"/>
          </w:tcPr>
          <w:p w14:paraId="1AEDA418" w14:textId="51C412F0" w:rsidR="00EC6EA5" w:rsidRDefault="00EC6EA5" w:rsidP="00EC6EA5">
            <w:pPr>
              <w:rPr>
                <w:lang w:val="en-GB"/>
              </w:rPr>
            </w:pPr>
          </w:p>
        </w:tc>
        <w:tc>
          <w:tcPr>
            <w:tcW w:w="2620" w:type="dxa"/>
            <w:tcBorders>
              <w:top w:val="single" w:sz="8" w:space="0" w:color="auto"/>
              <w:left w:val="single" w:sz="8" w:space="0" w:color="auto"/>
              <w:bottom w:val="single" w:sz="8" w:space="0" w:color="auto"/>
              <w:right w:val="single" w:sz="8" w:space="0" w:color="auto"/>
            </w:tcBorders>
            <w:vAlign w:val="center"/>
          </w:tcPr>
          <w:p w14:paraId="29BCEDC2" w14:textId="77777777" w:rsidR="00EC6EA5" w:rsidRDefault="00EC6EA5" w:rsidP="00EC6EA5">
            <w:pPr>
              <w:rPr>
                <w:lang w:val="en-GB"/>
              </w:rPr>
            </w:pPr>
          </w:p>
        </w:tc>
      </w:tr>
    </w:tbl>
    <w:p w14:paraId="43BC5C57" w14:textId="77777777" w:rsidR="00EC6EA5" w:rsidRPr="000510FE" w:rsidRDefault="00EC6EA5" w:rsidP="00EC6EA5">
      <w:pPr>
        <w:rPr>
          <w:rFonts w:eastAsia="Calibri" w:cs="Arial"/>
          <w:bCs/>
          <w:sz w:val="20"/>
          <w:szCs w:val="20"/>
          <w:lang w:val="en-GB" w:eastAsia="de-DE"/>
        </w:rPr>
      </w:pPr>
    </w:p>
    <w:p w14:paraId="1992D230" w14:textId="77777777" w:rsidR="00EC6EA5" w:rsidRDefault="00EC6EA5">
      <w:pPr>
        <w:spacing w:before="0"/>
        <w:jc w:val="left"/>
        <w:rPr>
          <w:rStyle w:val="Strong"/>
          <w:rFonts w:asciiTheme="majorHAnsi" w:eastAsiaTheme="majorEastAsia" w:hAnsiTheme="majorHAnsi" w:cstheme="majorBidi"/>
          <w:color w:val="17365D" w:themeColor="text2" w:themeShade="BF"/>
          <w:spacing w:val="5"/>
          <w:kern w:val="28"/>
          <w:sz w:val="52"/>
          <w:szCs w:val="52"/>
        </w:rPr>
      </w:pPr>
      <w:r>
        <w:rPr>
          <w:rStyle w:val="Strong"/>
        </w:rPr>
        <w:br w:type="page"/>
      </w:r>
    </w:p>
    <w:p w14:paraId="0928A7F8" w14:textId="5824DF2E" w:rsidR="00C72548" w:rsidRPr="00EC5C5A" w:rsidRDefault="00CA0414" w:rsidP="00C50A51">
      <w:pPr>
        <w:pStyle w:val="Title"/>
        <w:rPr>
          <w:rStyle w:val="Strong"/>
          <w:lang w:val="sr"/>
        </w:rPr>
      </w:pPr>
      <w:r>
        <w:rPr>
          <w:rStyle w:val="Strong"/>
        </w:rPr>
        <w:t xml:space="preserve">ПРЕДЛОГА </w:t>
      </w:r>
      <w:r w:rsidR="00C50A51" w:rsidRPr="00C50A51">
        <w:rPr>
          <w:rStyle w:val="Strong"/>
        </w:rPr>
        <w:t>КОНЦЕПТ</w:t>
      </w:r>
      <w:r>
        <w:rPr>
          <w:rStyle w:val="Strong"/>
        </w:rPr>
        <w:t>А</w:t>
      </w:r>
      <w:r w:rsidR="00C50A51" w:rsidRPr="00C50A51">
        <w:rPr>
          <w:rStyle w:val="Strong"/>
        </w:rPr>
        <w:t xml:space="preserve"> </w:t>
      </w:r>
      <w:r w:rsidR="00EC5C5A">
        <w:rPr>
          <w:rStyle w:val="Strong"/>
          <w:lang w:val="sr"/>
        </w:rPr>
        <w:t>ПРОДУЖЕНОГ СТУДИРАЊА</w:t>
      </w:r>
    </w:p>
    <w:p w14:paraId="31B40A29" w14:textId="7F6955DF" w:rsidR="00C50A51" w:rsidRPr="00C50A51" w:rsidRDefault="00C50A51" w:rsidP="00C50A51">
      <w:pPr>
        <w:pStyle w:val="Heading1"/>
      </w:pPr>
      <w:r>
        <w:t>Циљ</w:t>
      </w:r>
    </w:p>
    <w:p w14:paraId="62F683A9" w14:textId="11A6C8C1" w:rsidR="00C50A51" w:rsidRDefault="00EC5C5A" w:rsidP="00C50A51">
      <w:r w:rsidRPr="00EC5C5A">
        <w:rPr>
          <w:b/>
        </w:rPr>
        <w:t>Продужено студирање</w:t>
      </w:r>
      <w:r w:rsidR="00927ACC">
        <w:t xml:space="preserve"> (енгл., </w:t>
      </w:r>
      <w:r w:rsidR="00927ACC">
        <w:rPr>
          <w:lang w:val="en-US"/>
        </w:rPr>
        <w:t>part-time studies)</w:t>
      </w:r>
      <w:r w:rsidR="00C50A51">
        <w:t xml:space="preserve"> треба да омогући</w:t>
      </w:r>
      <w:r>
        <w:t xml:space="preserve"> свим студентима који не могу да редовно студирају</w:t>
      </w:r>
      <w:r w:rsidR="00C50A51">
        <w:t xml:space="preserve"> </w:t>
      </w:r>
      <w:r>
        <w:t>(због запослења, мајке мале деце,  особе са посебним потребама, живе ван  високошколских центара</w:t>
      </w:r>
      <w:r w:rsidR="00232DAB">
        <w:t>, активни спортисти</w:t>
      </w:r>
      <w:r>
        <w:t xml:space="preserve"> и др. ) </w:t>
      </w:r>
      <w:r w:rsidR="00C50A51">
        <w:t>да студирају исте студијске програме на основним (ОАС, ОСС) и мастер (МАС, МСС) студијама</w:t>
      </w:r>
      <w:r w:rsidR="00D433E2">
        <w:t xml:space="preserve">, на којим </w:t>
      </w:r>
      <w:r>
        <w:t xml:space="preserve">  студирају редовни </w:t>
      </w:r>
      <w:r w:rsidR="00C50A51">
        <w:t xml:space="preserve">студенти и да на тај начин стекну </w:t>
      </w:r>
      <w:r>
        <w:t xml:space="preserve">исте </w:t>
      </w:r>
      <w:r w:rsidR="00C50A51">
        <w:t xml:space="preserve">дипломе о завршеним </w:t>
      </w:r>
      <w:r w:rsidR="00C50A51" w:rsidRPr="00D433E2">
        <w:rPr>
          <w:i/>
        </w:rPr>
        <w:t>основним и мастер студијама</w:t>
      </w:r>
      <w:r w:rsidR="00C50A51">
        <w:t>.</w:t>
      </w:r>
    </w:p>
    <w:p w14:paraId="2625D026" w14:textId="68D8CB98" w:rsidR="00C50A51" w:rsidRDefault="00C50A51" w:rsidP="00C50A51">
      <w:r>
        <w:t xml:space="preserve">Режим </w:t>
      </w:r>
      <w:r w:rsidR="00EC5C5A">
        <w:t xml:space="preserve">продужених </w:t>
      </w:r>
      <w:r>
        <w:t>студија треба да буде прилагођен специфичним и ограниченим временским могућностима</w:t>
      </w:r>
      <w:r w:rsidR="00232DAB">
        <w:t xml:space="preserve"> њихових студената</w:t>
      </w:r>
      <w:r w:rsidR="00C21147">
        <w:t>.</w:t>
      </w:r>
    </w:p>
    <w:p w14:paraId="13AF0EE9" w14:textId="487C6B8A" w:rsidR="00D433E2" w:rsidRPr="00D433E2" w:rsidRDefault="00D433E2" w:rsidP="00C50A51">
      <w:pPr>
        <w:rPr>
          <w:lang w:val="en-US"/>
        </w:rPr>
      </w:pPr>
      <w:r>
        <w:t>Поред основних и мастер студија, студентима</w:t>
      </w:r>
      <w:r w:rsidR="00232DAB">
        <w:t xml:space="preserve"> продужених студија </w:t>
      </w:r>
      <w:r>
        <w:t xml:space="preserve"> треба омогућити и посебне услове студи</w:t>
      </w:r>
      <w:r w:rsidR="00927ACC">
        <w:t xml:space="preserve">рање и  у случају примене </w:t>
      </w:r>
      <w:r w:rsidR="00232DAB">
        <w:t xml:space="preserve">студија кратког циклуса, тј. </w:t>
      </w:r>
      <w:r w:rsidR="00927ACC">
        <w:t>кратки</w:t>
      </w:r>
      <w:r>
        <w:t>х програма (</w:t>
      </w:r>
      <w:r>
        <w:rPr>
          <w:lang w:val="sr"/>
        </w:rPr>
        <w:t xml:space="preserve">енгл., </w:t>
      </w:r>
      <w:r>
        <w:rPr>
          <w:lang w:val="en-US"/>
        </w:rPr>
        <w:t xml:space="preserve">short-cycle programs). </w:t>
      </w:r>
    </w:p>
    <w:p w14:paraId="3DDBB099" w14:textId="2BC7C7DE" w:rsidR="00EB560A" w:rsidRDefault="00EB560A" w:rsidP="00C50A51">
      <w:pPr>
        <w:pStyle w:val="Heading1"/>
      </w:pPr>
      <w:r>
        <w:t>Флексибилност студирања</w:t>
      </w:r>
      <w:r w:rsidR="00F72630">
        <w:t xml:space="preserve"> – три </w:t>
      </w:r>
      <w:r w:rsidR="00E8471F">
        <w:t>режима</w:t>
      </w:r>
      <w:r w:rsidR="00F72630">
        <w:t xml:space="preserve"> студирања</w:t>
      </w:r>
    </w:p>
    <w:p w14:paraId="20EECA34" w14:textId="2BDAEF80" w:rsidR="00B05778" w:rsidRPr="008137B8" w:rsidRDefault="00B05778" w:rsidP="00E8471F">
      <w:pPr>
        <w:ind w:firstLine="360"/>
        <w:rPr>
          <w:lang w:val="uz-Cyrl-UZ"/>
        </w:rPr>
      </w:pPr>
      <w:r w:rsidRPr="008137B8">
        <w:rPr>
          <w:lang w:val="uz-Cyrl-UZ"/>
        </w:rPr>
        <w:t>Како се очекује да око 50% матураната (ученика са завршеном средњом школом) настави своје образовање одмах после матуре, или касније у свом животу, то високо образовање треба да обезбеди флексибилност студија. У том смислу, треба да омогући</w:t>
      </w:r>
      <w:r w:rsidR="00E8471F">
        <w:rPr>
          <w:lang w:val="uz-Cyrl-UZ"/>
        </w:rPr>
        <w:t xml:space="preserve"> три режима студирања</w:t>
      </w:r>
      <w:r w:rsidRPr="008137B8">
        <w:rPr>
          <w:lang w:val="uz-Cyrl-UZ"/>
        </w:rPr>
        <w:t>:</w:t>
      </w:r>
    </w:p>
    <w:p w14:paraId="03CFDFC5" w14:textId="5256987F" w:rsidR="00B05778" w:rsidRPr="008137B8" w:rsidRDefault="00B05778" w:rsidP="00B05778">
      <w:pPr>
        <w:pStyle w:val="ListParagraph"/>
        <w:numPr>
          <w:ilvl w:val="0"/>
          <w:numId w:val="7"/>
        </w:numPr>
        <w:rPr>
          <w:lang w:val="uz-Cyrl-UZ"/>
        </w:rPr>
      </w:pPr>
      <w:r w:rsidRPr="008137B8">
        <w:rPr>
          <w:b/>
          <w:lang w:val="uz-Cyrl-UZ"/>
        </w:rPr>
        <w:t>Редовно студирање:</w:t>
      </w:r>
      <w:r w:rsidRPr="008137B8">
        <w:rPr>
          <w:lang w:val="uz-Cyrl-UZ"/>
        </w:rPr>
        <w:t xml:space="preserve"> Студент није запослен, студира 40 сати недељно (од тога </w:t>
      </w:r>
      <w:r w:rsidR="00487D58">
        <w:rPr>
          <w:lang w:val="uz-Cyrl-UZ"/>
        </w:rPr>
        <w:t xml:space="preserve">најмање </w:t>
      </w:r>
      <w:r w:rsidRPr="008137B8">
        <w:rPr>
          <w:lang w:val="uz-Cyrl-UZ"/>
        </w:rPr>
        <w:t>50</w:t>
      </w:r>
      <w:r w:rsidR="00487D58">
        <w:rPr>
          <w:lang w:val="uz-Cyrl-UZ"/>
        </w:rPr>
        <w:t>%</w:t>
      </w:r>
      <w:r w:rsidRPr="008137B8">
        <w:rPr>
          <w:lang w:val="uz-Cyrl-UZ"/>
        </w:rPr>
        <w:t xml:space="preserve"> у виду активне наставе) и остварује 60 ЕСПБ </w:t>
      </w:r>
      <w:r w:rsidR="00232DAB">
        <w:rPr>
          <w:lang w:val="uz-Cyrl-UZ"/>
        </w:rPr>
        <w:t xml:space="preserve">: </w:t>
      </w:r>
      <w:r w:rsidRPr="008137B8">
        <w:rPr>
          <w:lang w:val="uz-Cyrl-UZ"/>
        </w:rPr>
        <w:t>годишње.</w:t>
      </w:r>
    </w:p>
    <w:p w14:paraId="58C848DB" w14:textId="44FD1A5A" w:rsidR="00B05778" w:rsidRPr="008137B8" w:rsidRDefault="00232DAB" w:rsidP="00B05778">
      <w:pPr>
        <w:pStyle w:val="ListParagraph"/>
        <w:numPr>
          <w:ilvl w:val="0"/>
          <w:numId w:val="7"/>
        </w:numPr>
        <w:rPr>
          <w:lang w:val="uz-Cyrl-UZ"/>
        </w:rPr>
      </w:pPr>
      <w:r>
        <w:rPr>
          <w:b/>
          <w:lang w:val="uz-Cyrl-UZ"/>
        </w:rPr>
        <w:t>Продужено студирање</w:t>
      </w:r>
      <w:r w:rsidR="00B05778" w:rsidRPr="008137B8">
        <w:rPr>
          <w:lang w:val="uz-Cyrl-UZ"/>
        </w:rPr>
        <w:t xml:space="preserve"> Студент је запослен  или због других, личних разлога, не може да оств</w:t>
      </w:r>
      <w:r>
        <w:rPr>
          <w:lang w:val="uz-Cyrl-UZ"/>
        </w:rPr>
        <w:t>ари захтеве редовног студирања</w:t>
      </w:r>
      <w:r w:rsidR="00B05778" w:rsidRPr="008137B8">
        <w:rPr>
          <w:lang w:val="uz-Cyrl-UZ"/>
        </w:rPr>
        <w:t>, јер може да посвети студирањ</w:t>
      </w:r>
      <w:r>
        <w:rPr>
          <w:lang w:val="uz-Cyrl-UZ"/>
        </w:rPr>
        <w:t xml:space="preserve">у највише 15 до 20 сати недељно, те могу да остваре  најчешће око 30 ЕСПБ. </w:t>
      </w:r>
    </w:p>
    <w:p w14:paraId="6E66E546" w14:textId="07695C51" w:rsidR="00E8471F" w:rsidRDefault="00B05778" w:rsidP="00B05778">
      <w:pPr>
        <w:pStyle w:val="ListParagraph"/>
        <w:numPr>
          <w:ilvl w:val="0"/>
          <w:numId w:val="7"/>
        </w:numPr>
        <w:rPr>
          <w:lang w:val="uz-Cyrl-UZ"/>
        </w:rPr>
      </w:pPr>
      <w:r w:rsidRPr="008137B8">
        <w:rPr>
          <w:b/>
          <w:lang w:val="uz-Cyrl-UZ"/>
        </w:rPr>
        <w:t xml:space="preserve">Убрзано студирање: </w:t>
      </w:r>
      <w:r w:rsidR="000835D7">
        <w:rPr>
          <w:lang w:val="uz-Cyrl-UZ"/>
        </w:rPr>
        <w:t>Студент који</w:t>
      </w:r>
      <w:r w:rsidRPr="008137B8">
        <w:rPr>
          <w:lang w:val="uz-Cyrl-UZ"/>
        </w:rPr>
        <w:t xml:space="preserve"> ж</w:t>
      </w:r>
      <w:r w:rsidR="000835D7">
        <w:rPr>
          <w:lang w:val="uz-Cyrl-UZ"/>
        </w:rPr>
        <w:t>ели</w:t>
      </w:r>
      <w:r w:rsidRPr="008137B8">
        <w:rPr>
          <w:lang w:val="uz-Cyrl-UZ"/>
        </w:rPr>
        <w:t xml:space="preserve"> </w:t>
      </w:r>
      <w:r w:rsidR="000835D7">
        <w:rPr>
          <w:lang w:val="uz-Cyrl-UZ"/>
        </w:rPr>
        <w:t>и може</w:t>
      </w:r>
      <w:r w:rsidR="00232DAB">
        <w:rPr>
          <w:lang w:val="uz-Cyrl-UZ"/>
        </w:rPr>
        <w:t xml:space="preserve"> </w:t>
      </w:r>
      <w:r w:rsidR="000835D7">
        <w:rPr>
          <w:lang w:val="uz-Cyrl-UZ"/>
        </w:rPr>
        <w:t>да заврши</w:t>
      </w:r>
      <w:r w:rsidRPr="008137B8">
        <w:rPr>
          <w:lang w:val="uz-Cyrl-UZ"/>
        </w:rPr>
        <w:t xml:space="preserve"> студије у краћем временском периоду него што </w:t>
      </w:r>
      <w:r w:rsidR="00232DAB">
        <w:rPr>
          <w:lang w:val="uz-Cyrl-UZ"/>
        </w:rPr>
        <w:t xml:space="preserve">се очекује од </w:t>
      </w:r>
      <w:r w:rsidRPr="008137B8">
        <w:rPr>
          <w:lang w:val="uz-Cyrl-UZ"/>
        </w:rPr>
        <w:t xml:space="preserve"> редовно</w:t>
      </w:r>
      <w:r w:rsidR="000835D7">
        <w:rPr>
          <w:lang w:val="uz-Cyrl-UZ"/>
        </w:rPr>
        <w:t>г</w:t>
      </w:r>
      <w:r w:rsidRPr="008137B8">
        <w:rPr>
          <w:lang w:val="uz-Cyrl-UZ"/>
        </w:rPr>
        <w:t xml:space="preserve"> студирање</w:t>
      </w:r>
      <w:r w:rsidR="00167B31">
        <w:rPr>
          <w:lang w:val="uz-Cyrl-UZ"/>
        </w:rPr>
        <w:t xml:space="preserve">, </w:t>
      </w:r>
      <w:r w:rsidR="00167B31">
        <w:rPr>
          <w:lang w:val="sr"/>
        </w:rPr>
        <w:t>и</w:t>
      </w:r>
      <w:r w:rsidR="00232DAB">
        <w:rPr>
          <w:lang w:val="uz-Cyrl-UZ"/>
        </w:rPr>
        <w:t xml:space="preserve"> </w:t>
      </w:r>
      <w:r w:rsidR="00E8471F">
        <w:rPr>
          <w:lang w:val="uz-Cyrl-UZ"/>
        </w:rPr>
        <w:t>м</w:t>
      </w:r>
      <w:r w:rsidR="000835D7">
        <w:rPr>
          <w:lang w:val="uz-Cyrl-UZ"/>
        </w:rPr>
        <w:t>оже</w:t>
      </w:r>
      <w:r w:rsidR="00232DAB">
        <w:rPr>
          <w:lang w:val="uz-Cyrl-UZ"/>
        </w:rPr>
        <w:t xml:space="preserve"> да </w:t>
      </w:r>
      <w:r w:rsidR="000835D7">
        <w:rPr>
          <w:lang w:val="uz-Cyrl-UZ"/>
        </w:rPr>
        <w:t>оствари</w:t>
      </w:r>
      <w:r w:rsidR="00E8471F">
        <w:rPr>
          <w:lang w:val="uz-Cyrl-UZ"/>
        </w:rPr>
        <w:t xml:space="preserve"> </w:t>
      </w:r>
      <w:r w:rsidR="00232DAB">
        <w:rPr>
          <w:lang w:val="uz-Cyrl-UZ"/>
        </w:rPr>
        <w:t>до 90 ЕСПБ годишње</w:t>
      </w:r>
      <w:r w:rsidR="00526541">
        <w:rPr>
          <w:lang w:val="uz-Cyrl-UZ"/>
        </w:rPr>
        <w:t xml:space="preserve">, под условом да </w:t>
      </w:r>
      <w:r w:rsidR="000835D7">
        <w:rPr>
          <w:lang w:val="uz-Cyrl-UZ"/>
        </w:rPr>
        <w:t xml:space="preserve">претходно стекне </w:t>
      </w:r>
      <w:r w:rsidR="00526541">
        <w:rPr>
          <w:lang w:val="sr"/>
        </w:rPr>
        <w:t xml:space="preserve"> планираних</w:t>
      </w:r>
      <w:r w:rsidR="000261F1">
        <w:rPr>
          <w:lang w:val="sr"/>
        </w:rPr>
        <w:t xml:space="preserve"> и обавезујућих</w:t>
      </w:r>
      <w:r w:rsidR="00526541">
        <w:rPr>
          <w:lang w:val="sr"/>
        </w:rPr>
        <w:t xml:space="preserve"> 60 ЕСПБ</w:t>
      </w:r>
      <w:r w:rsidR="000261F1">
        <w:rPr>
          <w:lang w:val="sr"/>
        </w:rPr>
        <w:t>.</w:t>
      </w:r>
      <w:r w:rsidRPr="008137B8">
        <w:rPr>
          <w:lang w:val="uz-Cyrl-UZ"/>
        </w:rPr>
        <w:t xml:space="preserve"> </w:t>
      </w:r>
    </w:p>
    <w:p w14:paraId="70E2657D" w14:textId="6188F752" w:rsidR="00E8471F" w:rsidRPr="00E8471F" w:rsidRDefault="00E8471F" w:rsidP="00E8471F">
      <w:pPr>
        <w:ind w:firstLine="360"/>
        <w:rPr>
          <w:lang w:val="uz-Cyrl-UZ"/>
        </w:rPr>
      </w:pPr>
      <w:r>
        <w:rPr>
          <w:lang w:val="uz-Cyrl-UZ"/>
        </w:rPr>
        <w:t xml:space="preserve">Без обзира на брзину студирања, ако студирају исти студијски програм, студенти морају да оставере исте исходе учења и компетенције, иста знања и вештине. </w:t>
      </w:r>
      <w:r w:rsidRPr="00E8471F">
        <w:rPr>
          <w:lang w:val="uz-Cyrl-UZ"/>
        </w:rPr>
        <w:t>Један студијски програм може да се реализује у једном, два или сва три режима  студирања, и без обзира на режим студирања, диплома мора да гарантује исти ново компетенција свих студената који заврше један студијски програм.</w:t>
      </w:r>
    </w:p>
    <w:p w14:paraId="0B9D8BD1" w14:textId="00036DEA" w:rsidR="00B05778" w:rsidRPr="008137B8" w:rsidRDefault="00B05778" w:rsidP="00E8471F">
      <w:pPr>
        <w:ind w:firstLine="360"/>
        <w:rPr>
          <w:lang w:val="uz-Cyrl-UZ"/>
        </w:rPr>
      </w:pPr>
      <w:r w:rsidRPr="008137B8">
        <w:rPr>
          <w:lang w:val="uz-Cyrl-UZ"/>
        </w:rPr>
        <w:t xml:space="preserve">Како се околности код неког студента могу мењати током студирања, систем високог образовања треба да омогући његов прелазак из једног у други </w:t>
      </w:r>
      <w:r w:rsidR="00E8471F">
        <w:rPr>
          <w:lang w:val="uz-Cyrl-UZ"/>
        </w:rPr>
        <w:t xml:space="preserve">режим  студирања, </w:t>
      </w:r>
      <w:r w:rsidRPr="008137B8">
        <w:rPr>
          <w:lang w:val="uz-Cyrl-UZ"/>
        </w:rPr>
        <w:t xml:space="preserve">Високошколска установа (ВШУ) својим општим актом мора да предвиди услове преласка за сваки од три </w:t>
      </w:r>
      <w:r w:rsidR="00E8471F">
        <w:rPr>
          <w:lang w:val="uz-Cyrl-UZ"/>
        </w:rPr>
        <w:t xml:space="preserve">режима </w:t>
      </w:r>
      <w:r w:rsidRPr="008137B8">
        <w:rPr>
          <w:lang w:val="uz-Cyrl-UZ"/>
        </w:rPr>
        <w:t xml:space="preserve">студирања, ако су предвиђени њеним статутом. ВШУ није обавезна да нуди више од једног од наведена три </w:t>
      </w:r>
      <w:r w:rsidR="00E8471F">
        <w:rPr>
          <w:lang w:val="uz-Cyrl-UZ"/>
        </w:rPr>
        <w:t xml:space="preserve">режима </w:t>
      </w:r>
      <w:r w:rsidRPr="008137B8">
        <w:rPr>
          <w:lang w:val="uz-Cyrl-UZ"/>
        </w:rPr>
        <w:t xml:space="preserve">студирања. </w:t>
      </w:r>
    </w:p>
    <w:p w14:paraId="08E9F607" w14:textId="77777777" w:rsidR="000261F1" w:rsidRDefault="00B05778" w:rsidP="00E8471F">
      <w:pPr>
        <w:ind w:firstLine="360"/>
        <w:rPr>
          <w:lang w:val="uz-Cyrl-UZ"/>
        </w:rPr>
      </w:pPr>
      <w:r w:rsidRPr="008137B8">
        <w:rPr>
          <w:lang w:val="uz-Cyrl-UZ"/>
        </w:rPr>
        <w:t xml:space="preserve">У овом документу се предлаже концепт само једног од наведена три облика студирања – </w:t>
      </w:r>
      <w:r w:rsidR="000261F1">
        <w:rPr>
          <w:lang w:val="uz-Cyrl-UZ"/>
        </w:rPr>
        <w:t>продужено студирање</w:t>
      </w:r>
      <w:r w:rsidRPr="008137B8">
        <w:rPr>
          <w:lang w:val="uz-Cyrl-UZ"/>
        </w:rPr>
        <w:t xml:space="preserve"> (енгл</w:t>
      </w:r>
      <w:r w:rsidRPr="008137B8">
        <w:rPr>
          <w:noProof/>
          <w:lang w:val="uz-Cyrl-UZ"/>
        </w:rPr>
        <w:t>., part-time studies</w:t>
      </w:r>
      <w:r w:rsidRPr="008137B8">
        <w:rPr>
          <w:lang w:val="uz-Cyrl-UZ"/>
        </w:rPr>
        <w:t xml:space="preserve">). Међутим, принципи и могућност убрзаног студирања се могу применити и у случају </w:t>
      </w:r>
      <w:r w:rsidR="000261F1">
        <w:rPr>
          <w:lang w:val="uz-Cyrl-UZ"/>
        </w:rPr>
        <w:t>продуженог студирања.</w:t>
      </w:r>
    </w:p>
    <w:p w14:paraId="782AC5B6" w14:textId="04728948" w:rsidR="00F72630" w:rsidRPr="00F72630" w:rsidRDefault="000261F1" w:rsidP="00E8471F">
      <w:pPr>
        <w:ind w:firstLine="360"/>
        <w:rPr>
          <w:lang w:val="sr"/>
        </w:rPr>
      </w:pPr>
      <w:r>
        <w:rPr>
          <w:lang w:val="sr"/>
        </w:rPr>
        <w:t>Продужено студирање</w:t>
      </w:r>
      <w:r w:rsidRPr="000261F1">
        <w:rPr>
          <w:lang w:val="sr"/>
        </w:rPr>
        <w:t xml:space="preserve"> подразумева студирање истог студијског програма за стицање истих исхода учења и компетенција и добијање исте дипломе, али у дужем временском периоду. Значи да ова категорија студената сваке школске године може да испуни обавезе мање од 60 ЕСПБ, најчешће око 30 ЕСПБ, да студира </w:t>
      </w:r>
      <w:r>
        <w:rPr>
          <w:lang w:val="sr"/>
        </w:rPr>
        <w:t>најчешће</w:t>
      </w:r>
      <w:r w:rsidRPr="000261F1">
        <w:rPr>
          <w:lang w:val="sr"/>
        </w:rPr>
        <w:t xml:space="preserve"> дупли број година у односу на трајање студијског програма, а да се то сматра регуларним студирањем за њихову категорију. </w:t>
      </w:r>
      <w:r w:rsidR="004B51D2">
        <w:rPr>
          <w:lang w:val="sr"/>
        </w:rPr>
        <w:t xml:space="preserve"> </w:t>
      </w:r>
    </w:p>
    <w:p w14:paraId="1BEFC32B" w14:textId="2A4B5482" w:rsidR="00C50A51" w:rsidRDefault="00706332" w:rsidP="00C50A51">
      <w:pPr>
        <w:pStyle w:val="Heading1"/>
      </w:pPr>
      <w:r>
        <w:t>Основна опредељења</w:t>
      </w:r>
      <w:r w:rsidR="00E8471F">
        <w:t xml:space="preserve"> за продужено студирање</w:t>
      </w:r>
    </w:p>
    <w:p w14:paraId="7FE8C0EC" w14:textId="658B296E" w:rsidR="00B05778" w:rsidRPr="008137B8" w:rsidRDefault="00F5402A" w:rsidP="00B05778">
      <w:pPr>
        <w:rPr>
          <w:lang w:val="sr"/>
        </w:rPr>
      </w:pPr>
      <w:r>
        <w:rPr>
          <w:lang w:val="sr"/>
        </w:rPr>
        <w:t>Продужено студирање</w:t>
      </w:r>
      <w:r w:rsidR="00B05778" w:rsidRPr="008137B8">
        <w:rPr>
          <w:lang w:val="sr"/>
        </w:rPr>
        <w:t xml:space="preserve"> треба да задовољи следеће специфичне захтеве:</w:t>
      </w:r>
    </w:p>
    <w:p w14:paraId="1F3E1BCE" w14:textId="17CCC877" w:rsidR="00B05778" w:rsidRPr="008137B8" w:rsidRDefault="00B05778" w:rsidP="00B05778">
      <w:pPr>
        <w:pStyle w:val="ListParagraph"/>
        <w:numPr>
          <w:ilvl w:val="0"/>
          <w:numId w:val="2"/>
        </w:numPr>
        <w:rPr>
          <w:b/>
          <w:lang w:val="uz-Cyrl-UZ"/>
        </w:rPr>
      </w:pPr>
      <w:r w:rsidRPr="008137B8">
        <w:rPr>
          <w:b/>
          <w:lang w:val="uz-Cyrl-UZ"/>
        </w:rPr>
        <w:t xml:space="preserve">Трајање студија: </w:t>
      </w:r>
      <w:r w:rsidRPr="008137B8">
        <w:rPr>
          <w:lang w:val="uz-Cyrl-UZ"/>
        </w:rPr>
        <w:t xml:space="preserve">Нормално трајање </w:t>
      </w:r>
      <w:r w:rsidR="00F5402A">
        <w:rPr>
          <w:lang w:val="uz-Cyrl-UZ"/>
        </w:rPr>
        <w:t xml:space="preserve">продуженог студирања </w:t>
      </w:r>
      <w:r w:rsidRPr="008137B8">
        <w:rPr>
          <w:lang w:val="uz-Cyrl-UZ"/>
        </w:rPr>
        <w:t xml:space="preserve"> је </w:t>
      </w:r>
      <w:r w:rsidRPr="000816F7">
        <w:rPr>
          <w:i/>
          <w:lang w:val="uz-Cyrl-UZ"/>
        </w:rPr>
        <w:t xml:space="preserve">два пута дуже него </w:t>
      </w:r>
      <w:r w:rsidR="00F5402A" w:rsidRPr="000816F7">
        <w:rPr>
          <w:i/>
          <w:lang w:val="uz-Cyrl-UZ"/>
        </w:rPr>
        <w:t>код редовног студирања</w:t>
      </w:r>
      <w:r w:rsidRPr="000816F7">
        <w:rPr>
          <w:i/>
          <w:lang w:val="uz-Cyrl-UZ"/>
        </w:rPr>
        <w:t>нтима</w:t>
      </w:r>
      <w:r w:rsidRPr="008137B8">
        <w:rPr>
          <w:lang w:val="uz-Cyrl-UZ"/>
        </w:rPr>
        <w:t xml:space="preserve">, те у једној школској години студент треба да стекне </w:t>
      </w:r>
      <w:r w:rsidRPr="000816F7">
        <w:rPr>
          <w:i/>
          <w:lang w:val="uz-Cyrl-UZ"/>
        </w:rPr>
        <w:t>30 ЕСПБ.</w:t>
      </w:r>
      <w:r w:rsidRPr="008137B8">
        <w:rPr>
          <w:lang w:val="uz-Cyrl-UZ"/>
        </w:rPr>
        <w:t xml:space="preserve"> На посебан захтев студента, његово студирање се може продужити још за 50%.</w:t>
      </w:r>
      <w:r w:rsidR="00F5402A">
        <w:rPr>
          <w:lang w:val="uz-Cyrl-UZ"/>
        </w:rPr>
        <w:t xml:space="preserve"> Наравно, брзина студирања, те и трајање  продуженог студирања зависи </w:t>
      </w:r>
      <w:r w:rsidR="000816F7">
        <w:rPr>
          <w:lang w:val="uz-Cyrl-UZ"/>
        </w:rPr>
        <w:t xml:space="preserve">од </w:t>
      </w:r>
      <w:r w:rsidR="00F5402A">
        <w:rPr>
          <w:lang w:val="uz-Cyrl-UZ"/>
        </w:rPr>
        <w:t xml:space="preserve">могућности студената, те </w:t>
      </w:r>
      <w:r w:rsidR="000816F7">
        <w:rPr>
          <w:lang w:val="uz-Cyrl-UZ"/>
        </w:rPr>
        <w:t>они могу да годишњ</w:t>
      </w:r>
      <w:r w:rsidR="00F5402A">
        <w:rPr>
          <w:lang w:val="uz-Cyrl-UZ"/>
        </w:rPr>
        <w:t>е стичу и виш</w:t>
      </w:r>
      <w:r w:rsidR="000835D7">
        <w:rPr>
          <w:lang w:val="uz-Cyrl-UZ"/>
        </w:rPr>
        <w:t>е и мање од предвиђених 30 ЕСПБ</w:t>
      </w:r>
      <w:r w:rsidR="00F5402A">
        <w:rPr>
          <w:lang w:val="uz-Cyrl-UZ"/>
        </w:rPr>
        <w:t xml:space="preserve">, што се сматра нормом. </w:t>
      </w:r>
    </w:p>
    <w:p w14:paraId="2D49198C" w14:textId="7DD27BC5" w:rsidR="000816F7" w:rsidRPr="000816F7" w:rsidRDefault="00F5402A" w:rsidP="00B05778">
      <w:pPr>
        <w:pStyle w:val="ListParagraph"/>
        <w:numPr>
          <w:ilvl w:val="0"/>
          <w:numId w:val="2"/>
        </w:numPr>
        <w:rPr>
          <w:b/>
          <w:lang w:val="uz-Cyrl-UZ"/>
        </w:rPr>
      </w:pPr>
      <w:r>
        <w:rPr>
          <w:b/>
          <w:lang w:val="uz-Cyrl-UZ"/>
        </w:rPr>
        <w:t xml:space="preserve">Одрживост </w:t>
      </w:r>
      <w:r w:rsidR="00B05778" w:rsidRPr="008137B8">
        <w:rPr>
          <w:b/>
          <w:lang w:val="uz-Cyrl-UZ"/>
        </w:rPr>
        <w:t xml:space="preserve">програма студија: </w:t>
      </w:r>
      <w:r w:rsidR="00B05778" w:rsidRPr="008137B8">
        <w:rPr>
          <w:lang w:val="uz-Cyrl-UZ"/>
        </w:rPr>
        <w:t xml:space="preserve">Због дугог трајања </w:t>
      </w:r>
      <w:r w:rsidR="000816F7">
        <w:rPr>
          <w:lang w:val="uz-Cyrl-UZ"/>
        </w:rPr>
        <w:t xml:space="preserve">продужених </w:t>
      </w:r>
      <w:r w:rsidR="00B05778" w:rsidRPr="008137B8">
        <w:rPr>
          <w:lang w:val="uz-Cyrl-UZ"/>
        </w:rPr>
        <w:t>студија једне кохорте студената, ВШУ не треба да има обавезу да студентима гарантује исти програм студиј</w:t>
      </w:r>
      <w:r w:rsidR="000816F7">
        <w:rPr>
          <w:lang w:val="uz-Cyrl-UZ"/>
        </w:rPr>
        <w:t>а за цело време трајања</w:t>
      </w:r>
      <w:r w:rsidR="002309D2">
        <w:rPr>
          <w:lang w:val="uz-Cyrl-UZ"/>
        </w:rPr>
        <w:t xml:space="preserve"> </w:t>
      </w:r>
      <w:r w:rsidR="000835D7">
        <w:rPr>
          <w:lang w:val="uz-Cyrl-UZ"/>
        </w:rPr>
        <w:t>њихових продужених</w:t>
      </w:r>
      <w:r w:rsidR="000816F7">
        <w:rPr>
          <w:lang w:val="uz-Cyrl-UZ"/>
        </w:rPr>
        <w:t xml:space="preserve"> студија, з</w:t>
      </w:r>
      <w:r w:rsidR="00B05778" w:rsidRPr="008137B8">
        <w:rPr>
          <w:lang w:val="uz-Cyrl-UZ"/>
        </w:rPr>
        <w:t>бог потребе да се програми иновирају и осавремене (што ј</w:t>
      </w:r>
      <w:r w:rsidR="000816F7">
        <w:rPr>
          <w:lang w:val="uz-Cyrl-UZ"/>
        </w:rPr>
        <w:t>е у неким дисциплинама нужност).</w:t>
      </w:r>
      <w:r w:rsidR="00B05778" w:rsidRPr="008137B8">
        <w:rPr>
          <w:lang w:val="uz-Cyrl-UZ"/>
        </w:rPr>
        <w:t xml:space="preserve"> ВШУ </w:t>
      </w:r>
      <w:r w:rsidR="000816F7">
        <w:rPr>
          <w:lang w:val="uz-Cyrl-UZ"/>
        </w:rPr>
        <w:t>има</w:t>
      </w:r>
      <w:r w:rsidR="00B05778" w:rsidRPr="008137B8">
        <w:rPr>
          <w:lang w:val="uz-Cyrl-UZ"/>
        </w:rPr>
        <w:t xml:space="preserve"> обавезу да студентима </w:t>
      </w:r>
      <w:r w:rsidR="002309D2">
        <w:rPr>
          <w:lang w:val="uz-Cyrl-UZ"/>
        </w:rPr>
        <w:t xml:space="preserve">обезбеди </w:t>
      </w:r>
      <w:r w:rsidR="00B05778" w:rsidRPr="008137B8">
        <w:rPr>
          <w:lang w:val="uz-Cyrl-UZ"/>
        </w:rPr>
        <w:t xml:space="preserve"> </w:t>
      </w:r>
      <w:r w:rsidR="000816F7">
        <w:rPr>
          <w:lang w:val="uz-Cyrl-UZ"/>
        </w:rPr>
        <w:t xml:space="preserve">исти </w:t>
      </w:r>
      <w:r w:rsidR="00B05778" w:rsidRPr="008137B8">
        <w:rPr>
          <w:lang w:val="uz-Cyrl-UZ"/>
        </w:rPr>
        <w:t xml:space="preserve">програм </w:t>
      </w:r>
      <w:r w:rsidR="000816F7">
        <w:rPr>
          <w:lang w:val="uz-Cyrl-UZ"/>
        </w:rPr>
        <w:t>наставе који имају и студенти редовних студија,</w:t>
      </w:r>
      <w:r w:rsidR="000835D7">
        <w:rPr>
          <w:lang w:val="uz-Cyrl-UZ"/>
        </w:rPr>
        <w:t xml:space="preserve"> који истовремено студирају (заједно са студентима продужених студија),</w:t>
      </w:r>
      <w:r w:rsidR="000816F7">
        <w:rPr>
          <w:lang w:val="uz-Cyrl-UZ"/>
        </w:rPr>
        <w:t xml:space="preserve"> а који остварују 60 ЕСПБ годишње.</w:t>
      </w:r>
      <w:r w:rsidR="000816F7">
        <w:rPr>
          <w:b/>
          <w:lang w:val="uz-Cyrl-UZ"/>
        </w:rPr>
        <w:t xml:space="preserve"> </w:t>
      </w:r>
    </w:p>
    <w:p w14:paraId="6E020258" w14:textId="765C61B6" w:rsidR="00B05778" w:rsidRPr="008137B8" w:rsidRDefault="00B05778" w:rsidP="00B05778">
      <w:pPr>
        <w:pStyle w:val="ListParagraph"/>
        <w:numPr>
          <w:ilvl w:val="0"/>
          <w:numId w:val="2"/>
        </w:numPr>
        <w:rPr>
          <w:b/>
          <w:lang w:val="uz-Cyrl-UZ"/>
        </w:rPr>
      </w:pPr>
      <w:r w:rsidRPr="008137B8">
        <w:rPr>
          <w:b/>
          <w:lang w:val="uz-Cyrl-UZ"/>
        </w:rPr>
        <w:t xml:space="preserve">Квалитет студија: </w:t>
      </w:r>
      <w:r w:rsidR="00F5402A">
        <w:rPr>
          <w:lang w:val="uz-Cyrl-UZ"/>
        </w:rPr>
        <w:t>Продужено студирање</w:t>
      </w:r>
      <w:r w:rsidRPr="008137B8">
        <w:rPr>
          <w:lang w:val="uz-Cyrl-UZ"/>
        </w:rPr>
        <w:t xml:space="preserve"> мора да обезбеди исти квалитет као и редовно студирање, тј. остварене компетенције дипломираног студента треба да буду исте као и компетенције дипломираног студента редовних студија. </w:t>
      </w:r>
    </w:p>
    <w:p w14:paraId="5E20CDFF" w14:textId="539B1313" w:rsidR="00B05778" w:rsidRPr="00167B31" w:rsidRDefault="00B05778" w:rsidP="00B05778">
      <w:pPr>
        <w:pStyle w:val="ListParagraph"/>
        <w:numPr>
          <w:ilvl w:val="0"/>
          <w:numId w:val="2"/>
        </w:numPr>
        <w:rPr>
          <w:b/>
          <w:lang w:val="uz-Cyrl-UZ"/>
        </w:rPr>
      </w:pPr>
      <w:r w:rsidRPr="008137B8">
        <w:rPr>
          <w:b/>
          <w:lang w:val="uz-Cyrl-UZ"/>
        </w:rPr>
        <w:t xml:space="preserve">Начин студирања: </w:t>
      </w:r>
      <w:r w:rsidR="001C7154">
        <w:rPr>
          <w:lang w:val="uz-Cyrl-UZ"/>
        </w:rPr>
        <w:t>Продужено студирање се остварује приме</w:t>
      </w:r>
      <w:r w:rsidR="00D53191">
        <w:rPr>
          <w:lang w:val="uz-Cyrl-UZ"/>
        </w:rPr>
        <w:t>н</w:t>
      </w:r>
      <w:r w:rsidR="001C7154">
        <w:rPr>
          <w:lang w:val="uz-Cyrl-UZ"/>
        </w:rPr>
        <w:t xml:space="preserve">ом </w:t>
      </w:r>
      <w:r w:rsidRPr="008137B8">
        <w:rPr>
          <w:lang w:val="uz-Cyrl-UZ"/>
        </w:rPr>
        <w:t xml:space="preserve"> једног од три начина студирања:</w:t>
      </w:r>
    </w:p>
    <w:p w14:paraId="34148226" w14:textId="77777777" w:rsidR="00167B31" w:rsidRPr="008137B8" w:rsidRDefault="00167B31" w:rsidP="00167B31">
      <w:pPr>
        <w:pStyle w:val="ListParagraph"/>
        <w:rPr>
          <w:b/>
          <w:lang w:val="uz-Cyrl-UZ"/>
        </w:rPr>
      </w:pPr>
    </w:p>
    <w:p w14:paraId="2B8B9C5C" w14:textId="7AE609AF" w:rsidR="00B05778" w:rsidRPr="008137B8" w:rsidRDefault="00B05778" w:rsidP="00B05778">
      <w:pPr>
        <w:pStyle w:val="ListParagraph"/>
        <w:numPr>
          <w:ilvl w:val="1"/>
          <w:numId w:val="2"/>
        </w:numPr>
        <w:rPr>
          <w:b/>
          <w:lang w:val="uz-Cyrl-UZ"/>
        </w:rPr>
      </w:pPr>
      <w:r w:rsidRPr="008137B8">
        <w:rPr>
          <w:b/>
          <w:lang w:val="uz-Cyrl-UZ"/>
        </w:rPr>
        <w:t>Онлајн студирање (енгл., online learning)</w:t>
      </w:r>
      <w:r w:rsidRPr="008137B8">
        <w:rPr>
          <w:rStyle w:val="FootnoteReference"/>
          <w:b/>
          <w:lang w:val="uz-Cyrl-UZ"/>
        </w:rPr>
        <w:footnoteReference w:id="1"/>
      </w:r>
      <w:r w:rsidRPr="008137B8">
        <w:rPr>
          <w:b/>
          <w:lang w:val="uz-Cyrl-UZ"/>
        </w:rPr>
        <w:t xml:space="preserve">: </w:t>
      </w:r>
      <w:r w:rsidRPr="008137B8">
        <w:rPr>
          <w:lang w:val="uz-Cyrl-UZ"/>
        </w:rPr>
        <w:t xml:space="preserve">Студент користи систем за електронско учење ВШУ, </w:t>
      </w:r>
      <w:r w:rsidR="001C7154">
        <w:rPr>
          <w:lang w:val="uz-Cyrl-UZ"/>
        </w:rPr>
        <w:t xml:space="preserve">те има </w:t>
      </w:r>
      <w:r w:rsidRPr="008137B8">
        <w:rPr>
          <w:lang w:val="uz-Cyrl-UZ"/>
        </w:rPr>
        <w:t xml:space="preserve">приступ наставним материјалима и </w:t>
      </w:r>
      <w:r w:rsidR="001C7154">
        <w:rPr>
          <w:lang w:val="uz-Cyrl-UZ"/>
        </w:rPr>
        <w:t>могућност  интерактивне комуникације</w:t>
      </w:r>
      <w:r w:rsidRPr="008137B8">
        <w:rPr>
          <w:lang w:val="uz-Cyrl-UZ"/>
        </w:rPr>
        <w:t xml:space="preserve"> са</w:t>
      </w:r>
      <w:r w:rsidR="00167B31">
        <w:rPr>
          <w:lang w:val="uz-Cyrl-UZ"/>
        </w:rPr>
        <w:t xml:space="preserve"> наставником и </w:t>
      </w:r>
      <w:r w:rsidRPr="008137B8">
        <w:rPr>
          <w:lang w:val="uz-Cyrl-UZ"/>
        </w:rPr>
        <w:t xml:space="preserve"> тутором одређеним за сваки предмет, као и са другим студентима.</w:t>
      </w:r>
    </w:p>
    <w:p w14:paraId="25FA3E67" w14:textId="2E43D242" w:rsidR="00B05778" w:rsidRPr="008137B8" w:rsidRDefault="00B05778" w:rsidP="00B05778">
      <w:pPr>
        <w:pStyle w:val="ListParagraph"/>
        <w:numPr>
          <w:ilvl w:val="1"/>
          <w:numId w:val="2"/>
        </w:numPr>
        <w:rPr>
          <w:b/>
          <w:lang w:val="uz-Cyrl-UZ"/>
        </w:rPr>
      </w:pPr>
      <w:r w:rsidRPr="008137B8">
        <w:rPr>
          <w:b/>
          <w:lang w:val="uz-Cyrl-UZ"/>
        </w:rPr>
        <w:t xml:space="preserve">Хибридно (енгл., blended-learning): </w:t>
      </w:r>
      <w:r w:rsidRPr="008137B8">
        <w:rPr>
          <w:lang w:val="uz-Cyrl-UZ"/>
        </w:rPr>
        <w:t>Део наставе је у виду онлајн студирања, а други део наставе је у облику класичног студирања у просторијама ВШУ. Настава у просторијама ВШУ се обично реализује у делу у коме се очекује висок степен интерактивности студента са</w:t>
      </w:r>
      <w:r w:rsidR="00167B31">
        <w:rPr>
          <w:lang w:val="uz-Cyrl-UZ"/>
        </w:rPr>
        <w:t xml:space="preserve"> наставником и </w:t>
      </w:r>
      <w:r w:rsidRPr="008137B8">
        <w:rPr>
          <w:lang w:val="uz-Cyrl-UZ"/>
        </w:rPr>
        <w:t xml:space="preserve"> тутором и осталим студентима и када је неопходно коришћење посебне опреме које студент не може да поседује код куће. </w:t>
      </w:r>
    </w:p>
    <w:p w14:paraId="0C38CC1D" w14:textId="481F94C1" w:rsidR="00B05778" w:rsidRPr="008137B8" w:rsidRDefault="00B05778" w:rsidP="00B05778">
      <w:pPr>
        <w:pStyle w:val="ListParagraph"/>
        <w:numPr>
          <w:ilvl w:val="1"/>
          <w:numId w:val="2"/>
        </w:numPr>
        <w:rPr>
          <w:b/>
          <w:lang w:val="uz-Cyrl-UZ"/>
        </w:rPr>
      </w:pPr>
      <w:r w:rsidRPr="008137B8">
        <w:rPr>
          <w:b/>
          <w:lang w:val="uz-Cyrl-UZ"/>
        </w:rPr>
        <w:t xml:space="preserve">Класично студирање (енгл. face-to-face, tj, F2F): </w:t>
      </w:r>
      <w:r w:rsidRPr="008137B8">
        <w:rPr>
          <w:lang w:val="uz-Cyrl-UZ"/>
        </w:rPr>
        <w:t>Студент остварује планиран програм наставе у  целости у просторијама ВШУ (у вечерњим часовима радним данима, и током дана у данима викенда</w:t>
      </w:r>
      <w:r w:rsidR="00D53191">
        <w:rPr>
          <w:lang w:val="uz-Cyrl-UZ"/>
        </w:rPr>
        <w:t>, или према распоеду који одређује ВШУ</w:t>
      </w:r>
      <w:r w:rsidRPr="008137B8">
        <w:rPr>
          <w:lang w:val="uz-Cyrl-UZ"/>
        </w:rPr>
        <w:t xml:space="preserve">), с тим што обим активне наставе </w:t>
      </w:r>
      <w:r w:rsidRPr="00D53191">
        <w:rPr>
          <w:u w:val="single"/>
          <w:lang w:val="uz-Cyrl-UZ"/>
        </w:rPr>
        <w:t>мора да буде исти</w:t>
      </w:r>
      <w:r w:rsidRPr="008137B8">
        <w:rPr>
          <w:lang w:val="uz-Cyrl-UZ"/>
        </w:rPr>
        <w:t xml:space="preserve"> као и код класичне наставе при </w:t>
      </w:r>
      <w:r w:rsidR="00D53191">
        <w:rPr>
          <w:lang w:val="uz-Cyrl-UZ"/>
        </w:rPr>
        <w:t>редовном</w:t>
      </w:r>
      <w:r w:rsidRPr="008137B8">
        <w:rPr>
          <w:lang w:val="uz-Cyrl-UZ"/>
        </w:rPr>
        <w:t xml:space="preserve"> студирању. </w:t>
      </w:r>
    </w:p>
    <w:p w14:paraId="557EFC72" w14:textId="5A6E4865" w:rsidR="00823F87" w:rsidRDefault="001C7154" w:rsidP="00823F87">
      <w:pPr>
        <w:ind w:left="720"/>
        <w:rPr>
          <w:lang w:val="uz-Cyrl-UZ"/>
        </w:rPr>
      </w:pPr>
      <w:r>
        <w:rPr>
          <w:lang w:val="uz-Cyrl-UZ"/>
        </w:rPr>
        <w:t>Студент продуженог студирања може у току студија да мења начин студирања ако су они омогућени од с</w:t>
      </w:r>
      <w:r w:rsidR="00D53191">
        <w:rPr>
          <w:lang w:val="uz-Cyrl-UZ"/>
        </w:rPr>
        <w:t>тране ВШУ, а по</w:t>
      </w:r>
      <w:r>
        <w:rPr>
          <w:lang w:val="uz-Cyrl-UZ"/>
        </w:rPr>
        <w:t>д</w:t>
      </w:r>
      <w:r w:rsidR="00D53191">
        <w:rPr>
          <w:lang w:val="uz-Cyrl-UZ"/>
        </w:rPr>
        <w:t xml:space="preserve"> условима предвиђ</w:t>
      </w:r>
      <w:r>
        <w:rPr>
          <w:lang w:val="uz-Cyrl-UZ"/>
        </w:rPr>
        <w:t>еним општим акт</w:t>
      </w:r>
      <w:r w:rsidR="00D53191">
        <w:rPr>
          <w:lang w:val="uz-Cyrl-UZ"/>
        </w:rPr>
        <w:t>о</w:t>
      </w:r>
      <w:r>
        <w:rPr>
          <w:lang w:val="uz-Cyrl-UZ"/>
        </w:rPr>
        <w:t xml:space="preserve">м ВШУ.  </w:t>
      </w:r>
    </w:p>
    <w:p w14:paraId="47498034" w14:textId="79F7A0A6" w:rsidR="00EA21B3" w:rsidRPr="00D53191" w:rsidRDefault="00D53191" w:rsidP="00823F87">
      <w:pPr>
        <w:ind w:left="720"/>
        <w:rPr>
          <w:lang w:val="sr"/>
        </w:rPr>
      </w:pPr>
      <w:r>
        <w:rPr>
          <w:lang w:val="uz-Cyrl-UZ"/>
        </w:rPr>
        <w:t xml:space="preserve">Сва три начина студирања могу користити и студети редовних и убрзаних студија. </w:t>
      </w:r>
    </w:p>
    <w:p w14:paraId="1D747F15" w14:textId="54731193" w:rsidR="00B05778" w:rsidRPr="00823F87" w:rsidRDefault="00B05778" w:rsidP="00823F87">
      <w:pPr>
        <w:pStyle w:val="ListParagraph"/>
        <w:numPr>
          <w:ilvl w:val="0"/>
          <w:numId w:val="2"/>
        </w:numPr>
        <w:rPr>
          <w:b/>
          <w:lang w:val="uz-Cyrl-UZ"/>
        </w:rPr>
      </w:pPr>
      <w:r w:rsidRPr="008137B8">
        <w:rPr>
          <w:b/>
          <w:lang w:val="uz-Cyrl-UZ"/>
        </w:rPr>
        <w:t xml:space="preserve">Ко може бити  студент </w:t>
      </w:r>
      <w:r w:rsidR="001C7154">
        <w:rPr>
          <w:b/>
          <w:lang w:val="uz-Cyrl-UZ"/>
        </w:rPr>
        <w:t>продуженог студирања?</w:t>
      </w:r>
      <w:r w:rsidRPr="008137B8">
        <w:rPr>
          <w:b/>
          <w:lang w:val="uz-Cyrl-UZ"/>
        </w:rPr>
        <w:t xml:space="preserve">  </w:t>
      </w:r>
      <w:r w:rsidR="001C7154">
        <w:rPr>
          <w:b/>
          <w:lang w:val="uz-Cyrl-UZ"/>
        </w:rPr>
        <w:t xml:space="preserve"> </w:t>
      </w:r>
      <w:r w:rsidR="00393053">
        <w:rPr>
          <w:lang w:val="uz-Cyrl-UZ"/>
        </w:rPr>
        <w:t>На продужене студије</w:t>
      </w:r>
      <w:r w:rsidR="001C7154">
        <w:rPr>
          <w:lang w:val="uz-Cyrl-UZ"/>
        </w:rPr>
        <w:t xml:space="preserve"> се могу уписати студенти </w:t>
      </w:r>
      <w:r w:rsidR="00DD466B">
        <w:rPr>
          <w:lang w:val="uz-Cyrl-UZ"/>
        </w:rPr>
        <w:t xml:space="preserve">са завршеном средњом школом </w:t>
      </w:r>
      <w:r w:rsidR="001C7154">
        <w:rPr>
          <w:lang w:val="uz-Cyrl-UZ"/>
        </w:rPr>
        <w:t>који не могу да упиш</w:t>
      </w:r>
      <w:r w:rsidR="00823F87">
        <w:rPr>
          <w:lang w:val="uz-Cyrl-UZ"/>
        </w:rPr>
        <w:t>у редовно студирање, а ближе услове</w:t>
      </w:r>
      <w:r w:rsidR="001C7154">
        <w:rPr>
          <w:lang w:val="uz-Cyrl-UZ"/>
        </w:rPr>
        <w:t xml:space="preserve"> уп</w:t>
      </w:r>
      <w:r w:rsidR="00823F87">
        <w:rPr>
          <w:lang w:val="uz-Cyrl-UZ"/>
        </w:rPr>
        <w:t>и</w:t>
      </w:r>
      <w:r w:rsidR="001C7154">
        <w:rPr>
          <w:lang w:val="uz-Cyrl-UZ"/>
        </w:rPr>
        <w:t xml:space="preserve">са одређује ВШУ својим општим актом. </w:t>
      </w:r>
    </w:p>
    <w:p w14:paraId="193C05B3" w14:textId="3D78AD1F" w:rsidR="00B05778" w:rsidRPr="00960FCC" w:rsidRDefault="00B05778" w:rsidP="00960FCC">
      <w:pPr>
        <w:pStyle w:val="ListParagraph"/>
        <w:numPr>
          <w:ilvl w:val="0"/>
          <w:numId w:val="2"/>
        </w:numPr>
        <w:rPr>
          <w:b/>
          <w:lang w:val="uz-Cyrl-UZ"/>
        </w:rPr>
      </w:pPr>
      <w:r w:rsidRPr="008137B8">
        <w:rPr>
          <w:b/>
          <w:lang w:val="uz-Cyrl-UZ"/>
        </w:rPr>
        <w:t>Акредитација:</w:t>
      </w:r>
      <w:r w:rsidR="00823F87">
        <w:rPr>
          <w:lang w:val="uz-Cyrl-UZ"/>
        </w:rPr>
        <w:t xml:space="preserve">  Студијски програм је јединствен без обзира на реж</w:t>
      </w:r>
      <w:r w:rsidR="00823F87" w:rsidRPr="00823F87">
        <w:rPr>
          <w:lang w:val="uz-Cyrl-UZ"/>
        </w:rPr>
        <w:t xml:space="preserve">им </w:t>
      </w:r>
      <w:r w:rsidR="00823F87">
        <w:rPr>
          <w:lang w:val="uz-Cyrl-UZ"/>
        </w:rPr>
        <w:t xml:space="preserve">и облик </w:t>
      </w:r>
      <w:r w:rsidR="00823F87" w:rsidRPr="00823F87">
        <w:rPr>
          <w:lang w:val="uz-Cyrl-UZ"/>
        </w:rPr>
        <w:t>студирања</w:t>
      </w:r>
      <w:r w:rsidR="00823F87">
        <w:rPr>
          <w:lang w:val="uz-Cyrl-UZ"/>
        </w:rPr>
        <w:t>. Зато с</w:t>
      </w:r>
      <w:r w:rsidR="00DD466B">
        <w:rPr>
          <w:lang w:val="uz-Cyrl-UZ"/>
        </w:rPr>
        <w:t>е и јединствено акредитује</w:t>
      </w:r>
      <w:r w:rsidR="00823F87">
        <w:rPr>
          <w:lang w:val="uz-Cyrl-UZ"/>
        </w:rPr>
        <w:t>, тј. акредитација се додељује студијском програму, при чему се наводе преви</w:t>
      </w:r>
      <w:r w:rsidR="00960FCC">
        <w:rPr>
          <w:lang w:val="uz-Cyrl-UZ"/>
        </w:rPr>
        <w:t>ђени  режими и начини студирања</w:t>
      </w:r>
      <w:r w:rsidRPr="00823F87">
        <w:rPr>
          <w:lang w:val="uz-Cyrl-UZ"/>
        </w:rPr>
        <w:t>. Стандарди акредитације треба да пред</w:t>
      </w:r>
      <w:r w:rsidR="00DD466B">
        <w:rPr>
          <w:lang w:val="uz-Cyrl-UZ"/>
        </w:rPr>
        <w:t>виде услове за сваки од наведених</w:t>
      </w:r>
      <w:r w:rsidRPr="00823F87">
        <w:rPr>
          <w:lang w:val="uz-Cyrl-UZ"/>
        </w:rPr>
        <w:t xml:space="preserve"> </w:t>
      </w:r>
      <w:r w:rsidR="00960FCC">
        <w:rPr>
          <w:lang w:val="uz-Cyrl-UZ"/>
        </w:rPr>
        <w:t>режима и</w:t>
      </w:r>
      <w:r w:rsidRPr="00823F87">
        <w:rPr>
          <w:lang w:val="uz-Cyrl-UZ"/>
        </w:rPr>
        <w:t xml:space="preserve"> начина студирања. </w:t>
      </w:r>
      <w:r w:rsidR="00960FCC">
        <w:rPr>
          <w:lang w:val="uz-Cyrl-UZ"/>
        </w:rPr>
        <w:t>Број студената се одређуе се за сваки режим и начин студирања, зависно од  просторних и кадровских могућности ВШУ и не може се ограничавати  на други начин</w:t>
      </w:r>
      <w:r w:rsidRPr="00960FCC">
        <w:rPr>
          <w:lang w:val="uz-Cyrl-UZ"/>
        </w:rPr>
        <w:t>.</w:t>
      </w:r>
      <w:r w:rsidRPr="008137B8">
        <w:rPr>
          <w:rStyle w:val="FootnoteReference"/>
          <w:lang w:val="uz-Cyrl-UZ"/>
        </w:rPr>
        <w:footnoteReference w:id="2"/>
      </w:r>
    </w:p>
    <w:p w14:paraId="2EB358EE" w14:textId="34D70354" w:rsidR="00960FCC" w:rsidRPr="008137B8" w:rsidRDefault="00B05778" w:rsidP="00960FCC">
      <w:pPr>
        <w:pStyle w:val="ListParagraph"/>
        <w:numPr>
          <w:ilvl w:val="0"/>
          <w:numId w:val="2"/>
        </w:numPr>
        <w:rPr>
          <w:lang w:val="uz-Cyrl-UZ"/>
        </w:rPr>
      </w:pPr>
      <w:r w:rsidRPr="008137B8">
        <w:rPr>
          <w:b/>
          <w:lang w:val="uz-Cyrl-UZ"/>
        </w:rPr>
        <w:t xml:space="preserve">Финансирање студија: </w:t>
      </w:r>
      <w:r w:rsidR="00960FCC">
        <w:rPr>
          <w:lang w:val="uz-Cyrl-UZ"/>
        </w:rPr>
        <w:t xml:space="preserve">Продужено студирање </w:t>
      </w:r>
      <w:r w:rsidRPr="008137B8">
        <w:rPr>
          <w:lang w:val="uz-Cyrl-UZ"/>
        </w:rPr>
        <w:t xml:space="preserve"> има своју цену која се изражава школарином,</w:t>
      </w:r>
      <w:r w:rsidR="00526541">
        <w:rPr>
          <w:lang w:val="uz-Cyrl-UZ"/>
        </w:rPr>
        <w:t xml:space="preserve"> која се дефинише за стицање 60 ЕСПБ, а</w:t>
      </w:r>
      <w:r w:rsidRPr="008137B8">
        <w:rPr>
          <w:lang w:val="uz-Cyrl-UZ"/>
        </w:rPr>
        <w:t xml:space="preserve"> </w:t>
      </w:r>
      <w:r w:rsidR="00960FCC">
        <w:rPr>
          <w:lang w:val="uz-Cyrl-UZ"/>
        </w:rPr>
        <w:t>коју одређује ВШУ.</w:t>
      </w:r>
      <w:r w:rsidRPr="008137B8">
        <w:rPr>
          <w:lang w:val="uz-Cyrl-UZ"/>
        </w:rPr>
        <w:t xml:space="preserve"> </w:t>
      </w:r>
      <w:r w:rsidR="001E4038">
        <w:rPr>
          <w:lang w:val="sr"/>
        </w:rPr>
        <w:t>С</w:t>
      </w:r>
      <w:r w:rsidR="00960FCC">
        <w:rPr>
          <w:lang w:val="uz-Cyrl-UZ"/>
        </w:rPr>
        <w:t xml:space="preserve">туденти продуженог студирања </w:t>
      </w:r>
      <w:r w:rsidRPr="008137B8">
        <w:rPr>
          <w:lang w:val="uz-Cyrl-UZ"/>
        </w:rPr>
        <w:t xml:space="preserve">сами плаћају своје </w:t>
      </w:r>
      <w:r w:rsidR="00960FCC">
        <w:rPr>
          <w:lang w:val="uz-Cyrl-UZ"/>
        </w:rPr>
        <w:t>школарине</w:t>
      </w:r>
      <w:r w:rsidRPr="008137B8">
        <w:rPr>
          <w:lang w:val="uz-Cyrl-UZ"/>
        </w:rPr>
        <w:t>.</w:t>
      </w:r>
    </w:p>
    <w:p w14:paraId="5F873FA0" w14:textId="77777777" w:rsidR="00173A32" w:rsidRDefault="00173A32" w:rsidP="00EA21B3"/>
    <w:p w14:paraId="2600DE75" w14:textId="42513FDC" w:rsidR="00CA0414" w:rsidRDefault="00CA0414" w:rsidP="00EA21B3">
      <w:r w:rsidRPr="00CA0414">
        <w:t>Припремио</w:t>
      </w:r>
      <w:r w:rsidR="00173A32">
        <w:t xml:space="preserve"> верзију 2.0</w:t>
      </w:r>
      <w:r w:rsidRPr="00CA0414">
        <w:t>,</w:t>
      </w:r>
    </w:p>
    <w:p w14:paraId="071055CF" w14:textId="77777777" w:rsidR="00CA0414" w:rsidRPr="00CA0414" w:rsidRDefault="00CA0414" w:rsidP="00EA21B3"/>
    <w:p w14:paraId="18B89B2D" w14:textId="77777777" w:rsidR="00CA0414" w:rsidRDefault="00CA0414" w:rsidP="00EA21B3">
      <w:r w:rsidRPr="00CA0414">
        <w:t xml:space="preserve">Драган Домазет, </w:t>
      </w:r>
    </w:p>
    <w:p w14:paraId="3FED31F0" w14:textId="0097EDB7" w:rsidR="00CA0414" w:rsidRPr="00CA0414" w:rsidRDefault="00173A32" w:rsidP="00EA21B3">
      <w:r>
        <w:t>05.1.2017</w:t>
      </w:r>
      <w:r w:rsidR="00CA0414" w:rsidRPr="00CA0414">
        <w:t>.</w:t>
      </w:r>
    </w:p>
    <w:sectPr w:rsidR="00CA0414" w:rsidRPr="00CA0414" w:rsidSect="00C50A51">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63210" w14:textId="77777777" w:rsidR="00A02C4D" w:rsidRDefault="00A02C4D" w:rsidP="00C50A51">
      <w:pPr>
        <w:spacing w:before="0"/>
      </w:pPr>
      <w:r>
        <w:separator/>
      </w:r>
    </w:p>
  </w:endnote>
  <w:endnote w:type="continuationSeparator" w:id="0">
    <w:p w14:paraId="2BA1692B" w14:textId="77777777" w:rsidR="00A02C4D" w:rsidRDefault="00A02C4D" w:rsidP="00C50A5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CY">
    <w:panose1 w:val="020B0600040502020204"/>
    <w:charset w:val="59"/>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6A37F" w14:textId="77777777" w:rsidR="00A02C4D" w:rsidRDefault="00A02C4D" w:rsidP="00CE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AFE9A" w14:textId="77777777" w:rsidR="00A02C4D" w:rsidRDefault="00A02C4D" w:rsidP="00CE23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541B4" w14:textId="5B4AE801" w:rsidR="00A02C4D" w:rsidRDefault="00A02C4D" w:rsidP="00ED43DE">
    <w:pPr>
      <w:pStyle w:val="Footer"/>
      <w:framePr w:wrap="around" w:vAnchor="text" w:hAnchor="margin" w:xAlign="right" w:y="1"/>
      <w:rPr>
        <w:rFonts w:cs="Arial"/>
        <w:color w:val="0D0D0D" w:themeColor="text1" w:themeTint="F2"/>
      </w:rPr>
    </w:pPr>
    <w:r>
      <w:rPr>
        <w:rStyle w:val="PageNumber"/>
      </w:rPr>
      <w:fldChar w:fldCharType="begin"/>
    </w:r>
    <w:r>
      <w:rPr>
        <w:rStyle w:val="PageNumber"/>
      </w:rPr>
      <w:instrText xml:space="preserve">PAGE  </w:instrText>
    </w:r>
    <w:r>
      <w:rPr>
        <w:rStyle w:val="PageNumber"/>
      </w:rPr>
      <w:fldChar w:fldCharType="separate"/>
    </w:r>
    <w:r w:rsidR="00CD0B13">
      <w:rPr>
        <w:rStyle w:val="PageNumber"/>
        <w:noProof/>
      </w:rPr>
      <w:t>1</w:t>
    </w:r>
    <w:r>
      <w:rPr>
        <w:rStyle w:val="PageNumber"/>
      </w:rPr>
      <w:fldChar w:fldCharType="end"/>
    </w:r>
  </w:p>
  <w:p w14:paraId="6187C11C" w14:textId="72B74419" w:rsidR="00A02C4D" w:rsidRPr="00ED43DE" w:rsidRDefault="00A02C4D" w:rsidP="00ED43DE">
    <w:pPr>
      <w:pStyle w:val="Footer"/>
      <w:jc w:val="center"/>
      <w:rPr>
        <w:rFonts w:cs="Arial"/>
        <w:color w:val="0D0D0D" w:themeColor="text1" w:themeTint="F2"/>
      </w:rPr>
    </w:pPr>
    <w:r>
      <w:rPr>
        <w:rFonts w:cs="Arial"/>
        <w:noProof/>
        <w:color w:val="0D0D0D" w:themeColor="text1" w:themeTint="F2"/>
        <w:lang w:val="en-US"/>
      </w:rPr>
      <mc:AlternateContent>
        <mc:Choice Requires="wps">
          <w:drawing>
            <wp:anchor distT="0" distB="0" distL="114300" distR="114300" simplePos="0" relativeHeight="251661312" behindDoc="0" locked="0" layoutInCell="1" allowOverlap="1" wp14:anchorId="7BBC7441" wp14:editId="64980192">
              <wp:simplePos x="0" y="0"/>
              <wp:positionH relativeFrom="column">
                <wp:posOffset>0</wp:posOffset>
              </wp:positionH>
              <wp:positionV relativeFrom="paragraph">
                <wp:posOffset>-162560</wp:posOffset>
              </wp:positionV>
              <wp:extent cx="5715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75pt" to="450pt,-1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" strokecolor="#4f81bd [3204]" strokeweight="2pt"/>
          </w:pict>
        </mc:Fallback>
      </mc:AlternateContent>
    </w:r>
    <w:r w:rsidRPr="00192B74">
      <w:rPr>
        <w:rFonts w:cs="Arial"/>
        <w:color w:val="0D0D0D" w:themeColor="text1" w:themeTint="F2"/>
      </w:rPr>
      <w:t>www.pt-sche.metropolitan.ac.rs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C1699" w14:textId="77777777" w:rsidR="00A02C4D" w:rsidRDefault="00A02C4D" w:rsidP="00C50A51">
      <w:pPr>
        <w:spacing w:before="0"/>
      </w:pPr>
      <w:r>
        <w:separator/>
      </w:r>
    </w:p>
  </w:footnote>
  <w:footnote w:type="continuationSeparator" w:id="0">
    <w:p w14:paraId="10D91368" w14:textId="77777777" w:rsidR="00A02C4D" w:rsidRDefault="00A02C4D" w:rsidP="00C50A51">
      <w:pPr>
        <w:spacing w:before="0"/>
      </w:pPr>
      <w:r>
        <w:continuationSeparator/>
      </w:r>
    </w:p>
  </w:footnote>
  <w:footnote w:id="1">
    <w:p w14:paraId="3423A24A" w14:textId="77777777" w:rsidR="00A02C4D" w:rsidRPr="00DC6271" w:rsidRDefault="00A02C4D" w:rsidP="00B05778">
      <w:pPr>
        <w:pStyle w:val="FootnoteText"/>
        <w:rPr>
          <w:lang w:val="sr"/>
        </w:rPr>
      </w:pPr>
      <w:r>
        <w:rPr>
          <w:rStyle w:val="FootnoteReference"/>
        </w:rPr>
        <w:footnoteRef/>
      </w:r>
      <w:r>
        <w:t xml:space="preserve"> </w:t>
      </w:r>
      <w:r w:rsidRPr="00D83290">
        <w:rPr>
          <w:sz w:val="20"/>
          <w:szCs w:val="20"/>
          <w:lang w:val="sr"/>
        </w:rPr>
        <w:t>У званичним документима термин ”онлајн студирање” треба да замени до сада коришћен термин ”студирање на даљину”, јер он обухвата и дописно студирање (самостално студирање уз коришћење уџбеника на папиру или електронских уџбеника), или рачунарско подржано учење, где студент у изолацији користи наставне материјале у електронском облику,  а без икакве комуникације са тутором. То  даје је нижи квалитет образовања него што омогућава онлајн студирање, које, поред флексибилног избора електронских мултимедијалних наставних материјала са образовног портала ВШУ, омогућава и интерактивност студената са тутором и са осталим студентима.</w:t>
      </w:r>
      <w:r>
        <w:rPr>
          <w:lang w:val="sr"/>
        </w:rPr>
        <w:t xml:space="preserve"> </w:t>
      </w:r>
    </w:p>
  </w:footnote>
  <w:footnote w:id="2">
    <w:p w14:paraId="67EBAAA7" w14:textId="3C75FF68" w:rsidR="00A02C4D" w:rsidRPr="003C02EE" w:rsidRDefault="00A02C4D" w:rsidP="00B05778">
      <w:pPr>
        <w:pStyle w:val="FootnoteText"/>
        <w:rPr>
          <w:lang w:val="uz-Cyrl-UZ"/>
        </w:rPr>
      </w:pPr>
      <w:r w:rsidRPr="003C02EE">
        <w:rPr>
          <w:rStyle w:val="FootnoteReference"/>
          <w:sz w:val="20"/>
          <w:szCs w:val="20"/>
          <w:lang w:val="uz-Cyrl-UZ"/>
        </w:rPr>
        <w:footnoteRef/>
      </w:r>
      <w:r w:rsidRPr="003C02EE">
        <w:rPr>
          <w:sz w:val="20"/>
          <w:szCs w:val="20"/>
          <w:lang w:val="uz-Cyrl-UZ"/>
        </w:rPr>
        <w:t xml:space="preserve"> </w:t>
      </w:r>
      <w:r>
        <w:rPr>
          <w:sz w:val="20"/>
          <w:szCs w:val="20"/>
          <w:lang w:val="uz-Cyrl-UZ"/>
        </w:rPr>
        <w:t>Досадашња</w:t>
      </w:r>
      <w:r w:rsidRPr="003C02EE">
        <w:rPr>
          <w:sz w:val="20"/>
          <w:szCs w:val="20"/>
          <w:lang w:val="uz-Cyrl-UZ"/>
        </w:rPr>
        <w:t xml:space="preserve"> препорука Националног савета за високо образовање</w:t>
      </w:r>
      <w:r>
        <w:rPr>
          <w:sz w:val="20"/>
          <w:szCs w:val="20"/>
          <w:lang w:val="uz-Cyrl-UZ"/>
        </w:rPr>
        <w:t xml:space="preserve"> (новембар 2007)</w:t>
      </w:r>
      <w:r w:rsidRPr="003C02EE">
        <w:rPr>
          <w:sz w:val="20"/>
          <w:szCs w:val="20"/>
          <w:lang w:val="uz-Cyrl-UZ"/>
        </w:rPr>
        <w:t xml:space="preserve"> да ВШУ не може имати више од 30% студената на даљину у односу на укупан број својих студената треба се укинути, јер и садашњи стандард акредитације предвиђа да на сваких 80 студената даљину, ВШУ мора да обезбеди по једног тутора. То гарантује исти ниво услуга студенту (консултација), без обзира да ли их има 80 на предмету (са једним тутором), или их има 800 (са 8 тутора). Неко додатно ограничење (као постојеће са 30%) је потпун</w:t>
      </w:r>
      <w:r>
        <w:rPr>
          <w:sz w:val="20"/>
          <w:szCs w:val="20"/>
          <w:lang w:val="uz-Cyrl-UZ"/>
        </w:rPr>
        <w:t>о</w:t>
      </w:r>
      <w:r w:rsidRPr="003C02EE">
        <w:rPr>
          <w:sz w:val="20"/>
          <w:szCs w:val="20"/>
          <w:lang w:val="uz-Cyrl-UZ"/>
        </w:rPr>
        <w:t xml:space="preserve"> непотребно, јер нема никакве везе са квалитетом наставе на даљину. Како је онлајн студирање примарни начин студирања</w:t>
      </w:r>
      <w:r>
        <w:rPr>
          <w:sz w:val="20"/>
          <w:szCs w:val="20"/>
          <w:lang w:val="uz-Cyrl-UZ"/>
        </w:rPr>
        <w:t xml:space="preserve"> </w:t>
      </w:r>
      <w:r w:rsidRPr="003C02EE">
        <w:rPr>
          <w:sz w:val="20"/>
          <w:szCs w:val="20"/>
          <w:lang w:val="uz-Cyrl-UZ"/>
        </w:rPr>
        <w:t>запослених студената, то никакво додатно ограничење таквог начина наставе не треба подржавати, ако нема везе са квалитетом образовања</w:t>
      </w:r>
      <w:r w:rsidRPr="003C02EE">
        <w:rPr>
          <w:lang w:val="uz-Cyrl-UZ"/>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B6A1" w14:textId="7B1D3F0A" w:rsidR="00A02C4D" w:rsidRDefault="00A02C4D">
    <w:pPr>
      <w:pStyle w:val="Header"/>
    </w:pPr>
    <w:r>
      <w:rPr>
        <w:noProof/>
        <w:lang w:val="en-US"/>
      </w:rPr>
      <w:drawing>
        <wp:anchor distT="0" distB="0" distL="114300" distR="114300" simplePos="0" relativeHeight="251659264" behindDoc="0" locked="0" layoutInCell="1" allowOverlap="1" wp14:anchorId="686F9020" wp14:editId="774C1E36">
          <wp:simplePos x="0" y="0"/>
          <wp:positionH relativeFrom="column">
            <wp:posOffset>-114300</wp:posOffset>
          </wp:positionH>
          <wp:positionV relativeFrom="paragraph">
            <wp:posOffset>121920</wp:posOffset>
          </wp:positionV>
          <wp:extent cx="1276350" cy="781050"/>
          <wp:effectExtent l="0" t="0" r="0" b="6350"/>
          <wp:wrapSquare wrapText="bothSides"/>
          <wp:docPr id="1" name="Picture 1"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67B0A8B" w14:textId="1769E817" w:rsidR="00A02C4D" w:rsidRPr="00480E69" w:rsidRDefault="00A02C4D" w:rsidP="00480E69">
    <w:pPr>
      <w:pStyle w:val="Header"/>
      <w:jc w:val="right"/>
      <w:rPr>
        <w:lang w:val="sr"/>
      </w:rPr>
    </w:pPr>
    <w:r>
      <w:rPr>
        <w:noProof/>
        <w:lang w:val="en-US"/>
      </w:rPr>
      <w:drawing>
        <wp:inline distT="0" distB="0" distL="0" distR="0" wp14:anchorId="12AD10E1" wp14:editId="1D82493B">
          <wp:extent cx="1990725" cy="590550"/>
          <wp:effectExtent l="0" t="0" r="0"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srcRect/>
                  <a:stretch>
                    <a:fillRect/>
                  </a:stretch>
                </pic:blipFill>
                <pic:spPr bwMode="auto">
                  <a:xfrm>
                    <a:off x="0" y="0"/>
                    <a:ext cx="1990725" cy="590550"/>
                  </a:xfrm>
                  <a:prstGeom prst="rect">
                    <a:avLst/>
                  </a:prstGeom>
                  <a:noFill/>
                  <a:ln w="9525">
                    <a:noFill/>
                    <a:miter lim="800000"/>
                    <a:headEnd/>
                    <a:tailEnd/>
                  </a:ln>
                </pic:spPr>
              </pic:pic>
            </a:graphicData>
          </a:graphic>
        </wp:inline>
      </w:drawing>
    </w:r>
  </w:p>
  <w:p w14:paraId="143EB4F4" w14:textId="7B60B941" w:rsidR="00A02C4D" w:rsidRDefault="00A02C4D">
    <w:pPr>
      <w:pStyle w:val="Header"/>
    </w:pPr>
    <w:r>
      <w:rPr>
        <w:noProof/>
        <w:lang w:val="en-US"/>
      </w:rPr>
      <mc:AlternateContent>
        <mc:Choice Requires="wps">
          <w:drawing>
            <wp:anchor distT="0" distB="0" distL="114300" distR="114300" simplePos="0" relativeHeight="251660288" behindDoc="0" locked="0" layoutInCell="1" allowOverlap="1" wp14:anchorId="20E9706C" wp14:editId="352CD942">
              <wp:simplePos x="0" y="0"/>
              <wp:positionH relativeFrom="column">
                <wp:posOffset>0</wp:posOffset>
              </wp:positionH>
              <wp:positionV relativeFrom="paragraph">
                <wp:posOffset>3810</wp:posOffset>
              </wp:positionV>
              <wp:extent cx="58293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pt" to="459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" strokecolor="#4f81bd [3204]"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8FE"/>
    <w:multiLevelType w:val="hybridMultilevel"/>
    <w:tmpl w:val="69D2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1361D"/>
    <w:multiLevelType w:val="hybridMultilevel"/>
    <w:tmpl w:val="AF524CBC"/>
    <w:lvl w:ilvl="0" w:tplc="3328CEBC">
      <w:start w:val="1"/>
      <w:numFmt w:val="lowerLetter"/>
      <w:lvlText w:val="%1."/>
      <w:lvlJc w:val="left"/>
      <w:pPr>
        <w:ind w:left="7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F38BC"/>
    <w:multiLevelType w:val="hybridMultilevel"/>
    <w:tmpl w:val="2E62C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75ACC"/>
    <w:multiLevelType w:val="hybridMultilevel"/>
    <w:tmpl w:val="0BBC96D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nsid w:val="18645E79"/>
    <w:multiLevelType w:val="hybridMultilevel"/>
    <w:tmpl w:val="1726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23D6"/>
    <w:multiLevelType w:val="hybridMultilevel"/>
    <w:tmpl w:val="26FCDB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B489B"/>
    <w:multiLevelType w:val="hybridMultilevel"/>
    <w:tmpl w:val="2E62C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039A7"/>
    <w:multiLevelType w:val="hybridMultilevel"/>
    <w:tmpl w:val="FD66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55C4A"/>
    <w:multiLevelType w:val="hybridMultilevel"/>
    <w:tmpl w:val="7B90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6B2636"/>
    <w:multiLevelType w:val="hybridMultilevel"/>
    <w:tmpl w:val="69D2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948B6"/>
    <w:multiLevelType w:val="multilevel"/>
    <w:tmpl w:val="39A028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2"/>
  </w:num>
  <w:num w:numId="3">
    <w:abstractNumId w:val="7"/>
  </w:num>
  <w:num w:numId="4">
    <w:abstractNumId w:val="4"/>
  </w:num>
  <w:num w:numId="5">
    <w:abstractNumId w:val="8"/>
  </w:num>
  <w:num w:numId="6">
    <w:abstractNumId w:val="5"/>
  </w:num>
  <w:num w:numId="7">
    <w:abstractNumId w:val="0"/>
  </w:num>
  <w:num w:numId="8">
    <w:abstractNumId w:val="9"/>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51"/>
    <w:rsid w:val="000261F1"/>
    <w:rsid w:val="000816F7"/>
    <w:rsid w:val="000835D7"/>
    <w:rsid w:val="000E69EF"/>
    <w:rsid w:val="001330FC"/>
    <w:rsid w:val="00167B31"/>
    <w:rsid w:val="00173A32"/>
    <w:rsid w:val="001C7154"/>
    <w:rsid w:val="001C7980"/>
    <w:rsid w:val="001D4CBD"/>
    <w:rsid w:val="001E4038"/>
    <w:rsid w:val="001F376E"/>
    <w:rsid w:val="002309D2"/>
    <w:rsid w:val="00232DAB"/>
    <w:rsid w:val="00281C0B"/>
    <w:rsid w:val="002E394C"/>
    <w:rsid w:val="002F2BCF"/>
    <w:rsid w:val="00303F49"/>
    <w:rsid w:val="00374BCB"/>
    <w:rsid w:val="00393053"/>
    <w:rsid w:val="003B7C00"/>
    <w:rsid w:val="003D30C5"/>
    <w:rsid w:val="00431B3E"/>
    <w:rsid w:val="00480E69"/>
    <w:rsid w:val="00487D58"/>
    <w:rsid w:val="004B51D2"/>
    <w:rsid w:val="00526541"/>
    <w:rsid w:val="005F432D"/>
    <w:rsid w:val="00635B80"/>
    <w:rsid w:val="006D49CC"/>
    <w:rsid w:val="00706332"/>
    <w:rsid w:val="00746643"/>
    <w:rsid w:val="007B5203"/>
    <w:rsid w:val="007D2E72"/>
    <w:rsid w:val="00823F87"/>
    <w:rsid w:val="0088600B"/>
    <w:rsid w:val="00927ACC"/>
    <w:rsid w:val="00960FCC"/>
    <w:rsid w:val="00A02C4D"/>
    <w:rsid w:val="00B05778"/>
    <w:rsid w:val="00B35E31"/>
    <w:rsid w:val="00B805CE"/>
    <w:rsid w:val="00BE0D79"/>
    <w:rsid w:val="00C03AF3"/>
    <w:rsid w:val="00C21147"/>
    <w:rsid w:val="00C30F0F"/>
    <w:rsid w:val="00C50A51"/>
    <w:rsid w:val="00C553E6"/>
    <w:rsid w:val="00C61C36"/>
    <w:rsid w:val="00C72548"/>
    <w:rsid w:val="00CA0414"/>
    <w:rsid w:val="00CD0B13"/>
    <w:rsid w:val="00CE23CE"/>
    <w:rsid w:val="00CF3D74"/>
    <w:rsid w:val="00D433E2"/>
    <w:rsid w:val="00D53191"/>
    <w:rsid w:val="00D940CA"/>
    <w:rsid w:val="00DA507C"/>
    <w:rsid w:val="00DC6271"/>
    <w:rsid w:val="00DD466B"/>
    <w:rsid w:val="00DF0CCF"/>
    <w:rsid w:val="00DF541C"/>
    <w:rsid w:val="00E25BBC"/>
    <w:rsid w:val="00E8471F"/>
    <w:rsid w:val="00EA00B5"/>
    <w:rsid w:val="00EA21B3"/>
    <w:rsid w:val="00EB560A"/>
    <w:rsid w:val="00EC5C5A"/>
    <w:rsid w:val="00EC6EA5"/>
    <w:rsid w:val="00ED3F9D"/>
    <w:rsid w:val="00ED43DE"/>
    <w:rsid w:val="00EF320E"/>
    <w:rsid w:val="00F45BA7"/>
    <w:rsid w:val="00F5402A"/>
    <w:rsid w:val="00F72630"/>
    <w:rsid w:val="00F937A3"/>
    <w:rsid w:val="00FB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B7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54"/>
    <w:pPr>
      <w:spacing w:before="120"/>
      <w:jc w:val="both"/>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BalloonText">
    <w:name w:val="Balloon Text"/>
    <w:basedOn w:val="Normal"/>
    <w:link w:val="BalloonTextChar"/>
    <w:uiPriority w:val="99"/>
    <w:semiHidden/>
    <w:unhideWhenUsed/>
    <w:rsid w:val="00480E69"/>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480E69"/>
    <w:rPr>
      <w:rFonts w:ascii="Lucida Grande CY" w:hAnsi="Lucida Grande CY" w:cs="Lucida Grande CY"/>
      <w:sz w:val="18"/>
      <w:szCs w:val="18"/>
      <w:lang w:val="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54"/>
    <w:pPr>
      <w:spacing w:before="120"/>
      <w:jc w:val="both"/>
    </w:pPr>
    <w:rPr>
      <w:rFonts w:ascii="Arial" w:hAnsi="Arial"/>
      <w:lang w:val="hr-HR"/>
    </w:rPr>
  </w:style>
  <w:style w:type="paragraph" w:styleId="Heading1">
    <w:name w:val="heading 1"/>
    <w:basedOn w:val="Normal"/>
    <w:next w:val="Normal"/>
    <w:link w:val="Heading1Char"/>
    <w:uiPriority w:val="9"/>
    <w:qFormat/>
    <w:rsid w:val="00C50A51"/>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0A5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0A5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0A5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A5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A5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A5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A5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A5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51"/>
    <w:rPr>
      <w:rFonts w:asciiTheme="majorHAnsi" w:eastAsiaTheme="majorEastAsia" w:hAnsiTheme="majorHAnsi" w:cstheme="majorBidi"/>
      <w:b/>
      <w:bCs/>
      <w:color w:val="345A8A" w:themeColor="accent1" w:themeShade="B5"/>
      <w:sz w:val="32"/>
      <w:szCs w:val="32"/>
      <w:lang w:val="hr-HR"/>
    </w:rPr>
  </w:style>
  <w:style w:type="character" w:customStyle="1" w:styleId="Heading2Char">
    <w:name w:val="Heading 2 Char"/>
    <w:basedOn w:val="DefaultParagraphFont"/>
    <w:link w:val="Heading2"/>
    <w:uiPriority w:val="9"/>
    <w:rsid w:val="00C50A51"/>
    <w:rPr>
      <w:rFonts w:asciiTheme="majorHAnsi" w:eastAsiaTheme="majorEastAsia" w:hAnsiTheme="majorHAnsi" w:cstheme="majorBidi"/>
      <w:b/>
      <w:bCs/>
      <w:color w:val="4F81BD" w:themeColor="accent1"/>
      <w:sz w:val="26"/>
      <w:szCs w:val="26"/>
      <w:lang w:val="hr-HR"/>
    </w:rPr>
  </w:style>
  <w:style w:type="character" w:styleId="Strong">
    <w:name w:val="Strong"/>
    <w:basedOn w:val="DefaultParagraphFont"/>
    <w:uiPriority w:val="22"/>
    <w:qFormat/>
    <w:rsid w:val="00C50A51"/>
    <w:rPr>
      <w:b/>
      <w:bCs/>
    </w:rPr>
  </w:style>
  <w:style w:type="paragraph" w:styleId="Title">
    <w:name w:val="Title"/>
    <w:basedOn w:val="Normal"/>
    <w:next w:val="Normal"/>
    <w:link w:val="TitleChar"/>
    <w:uiPriority w:val="10"/>
    <w:qFormat/>
    <w:rsid w:val="00C50A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A51"/>
    <w:rPr>
      <w:rFonts w:asciiTheme="majorHAnsi" w:eastAsiaTheme="majorEastAsia" w:hAnsiTheme="majorHAnsi" w:cstheme="majorBidi"/>
      <w:color w:val="17365D" w:themeColor="text2" w:themeShade="BF"/>
      <w:spacing w:val="5"/>
      <w:kern w:val="28"/>
      <w:sz w:val="52"/>
      <w:szCs w:val="52"/>
      <w:lang w:val="hr-HR"/>
    </w:rPr>
  </w:style>
  <w:style w:type="paragraph" w:styleId="Header">
    <w:name w:val="header"/>
    <w:basedOn w:val="Normal"/>
    <w:link w:val="HeaderChar"/>
    <w:uiPriority w:val="99"/>
    <w:unhideWhenUsed/>
    <w:rsid w:val="00C50A51"/>
    <w:pPr>
      <w:tabs>
        <w:tab w:val="center" w:pos="4153"/>
        <w:tab w:val="right" w:pos="8306"/>
      </w:tabs>
    </w:pPr>
  </w:style>
  <w:style w:type="character" w:customStyle="1" w:styleId="HeaderChar">
    <w:name w:val="Header Char"/>
    <w:basedOn w:val="DefaultParagraphFont"/>
    <w:link w:val="Header"/>
    <w:uiPriority w:val="99"/>
    <w:rsid w:val="00C50A51"/>
    <w:rPr>
      <w:rFonts w:ascii="Arial" w:hAnsi="Arial"/>
      <w:lang w:val="hr-HR"/>
    </w:rPr>
  </w:style>
  <w:style w:type="paragraph" w:styleId="Footer">
    <w:name w:val="footer"/>
    <w:basedOn w:val="Normal"/>
    <w:link w:val="FooterChar"/>
    <w:uiPriority w:val="99"/>
    <w:unhideWhenUsed/>
    <w:rsid w:val="00C50A51"/>
    <w:pPr>
      <w:tabs>
        <w:tab w:val="center" w:pos="4153"/>
        <w:tab w:val="right" w:pos="8306"/>
      </w:tabs>
    </w:pPr>
  </w:style>
  <w:style w:type="character" w:customStyle="1" w:styleId="FooterChar">
    <w:name w:val="Footer Char"/>
    <w:basedOn w:val="DefaultParagraphFont"/>
    <w:link w:val="Footer"/>
    <w:uiPriority w:val="99"/>
    <w:rsid w:val="00C50A51"/>
    <w:rPr>
      <w:rFonts w:ascii="Arial" w:hAnsi="Arial"/>
      <w:lang w:val="hr-HR"/>
    </w:rPr>
  </w:style>
  <w:style w:type="paragraph" w:styleId="ListParagraph">
    <w:name w:val="List Paragraph"/>
    <w:basedOn w:val="Normal"/>
    <w:uiPriority w:val="34"/>
    <w:qFormat/>
    <w:rsid w:val="00C21147"/>
    <w:pPr>
      <w:ind w:left="720"/>
      <w:contextualSpacing/>
    </w:pPr>
  </w:style>
  <w:style w:type="character" w:customStyle="1" w:styleId="Heading3Char">
    <w:name w:val="Heading 3 Char"/>
    <w:basedOn w:val="DefaultParagraphFont"/>
    <w:link w:val="Heading3"/>
    <w:uiPriority w:val="9"/>
    <w:semiHidden/>
    <w:rsid w:val="00C50A51"/>
    <w:rPr>
      <w:rFonts w:asciiTheme="majorHAnsi" w:eastAsiaTheme="majorEastAsia" w:hAnsiTheme="majorHAnsi" w:cstheme="majorBidi"/>
      <w:b/>
      <w:bCs/>
      <w:color w:val="4F81BD" w:themeColor="accent1"/>
      <w:lang w:val="hr-HR"/>
    </w:rPr>
  </w:style>
  <w:style w:type="character" w:customStyle="1" w:styleId="Heading4Char">
    <w:name w:val="Heading 4 Char"/>
    <w:basedOn w:val="DefaultParagraphFont"/>
    <w:link w:val="Heading4"/>
    <w:uiPriority w:val="9"/>
    <w:semiHidden/>
    <w:rsid w:val="00C50A51"/>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C50A51"/>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C50A51"/>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C50A51"/>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C50A51"/>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C50A51"/>
    <w:rPr>
      <w:rFonts w:asciiTheme="majorHAnsi" w:eastAsiaTheme="majorEastAsia" w:hAnsiTheme="majorHAnsi" w:cstheme="majorBidi"/>
      <w:i/>
      <w:iCs/>
      <w:color w:val="404040" w:themeColor="text1" w:themeTint="BF"/>
      <w:sz w:val="20"/>
      <w:szCs w:val="20"/>
      <w:lang w:val="hr-HR"/>
    </w:rPr>
  </w:style>
  <w:style w:type="paragraph" w:styleId="FootnoteText">
    <w:name w:val="footnote text"/>
    <w:basedOn w:val="Normal"/>
    <w:link w:val="FootnoteTextChar"/>
    <w:uiPriority w:val="99"/>
    <w:unhideWhenUsed/>
    <w:rsid w:val="00DC6271"/>
    <w:pPr>
      <w:spacing w:before="0"/>
    </w:pPr>
  </w:style>
  <w:style w:type="character" w:customStyle="1" w:styleId="FootnoteTextChar">
    <w:name w:val="Footnote Text Char"/>
    <w:basedOn w:val="DefaultParagraphFont"/>
    <w:link w:val="FootnoteText"/>
    <w:uiPriority w:val="99"/>
    <w:rsid w:val="00DC6271"/>
    <w:rPr>
      <w:rFonts w:ascii="Arial" w:hAnsi="Arial"/>
      <w:lang w:val="hr-HR"/>
    </w:rPr>
  </w:style>
  <w:style w:type="character" w:styleId="FootnoteReference">
    <w:name w:val="footnote reference"/>
    <w:basedOn w:val="DefaultParagraphFont"/>
    <w:uiPriority w:val="99"/>
    <w:unhideWhenUsed/>
    <w:rsid w:val="00DC6271"/>
    <w:rPr>
      <w:vertAlign w:val="superscript"/>
    </w:rPr>
  </w:style>
  <w:style w:type="character" w:styleId="PageNumber">
    <w:name w:val="page number"/>
    <w:basedOn w:val="DefaultParagraphFont"/>
    <w:uiPriority w:val="99"/>
    <w:semiHidden/>
    <w:unhideWhenUsed/>
    <w:rsid w:val="00CE23CE"/>
  </w:style>
  <w:style w:type="paragraph" w:styleId="BalloonText">
    <w:name w:val="Balloon Text"/>
    <w:basedOn w:val="Normal"/>
    <w:link w:val="BalloonTextChar"/>
    <w:uiPriority w:val="99"/>
    <w:semiHidden/>
    <w:unhideWhenUsed/>
    <w:rsid w:val="00480E69"/>
    <w:pPr>
      <w:spacing w:before="0"/>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480E69"/>
    <w:rPr>
      <w:rFonts w:ascii="Lucida Grande CY" w:hAnsi="Lucida Grande CY" w:cs="Lucida Grande CY"/>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1181</Words>
  <Characters>6691</Characters>
  <Application>Microsoft Macintosh Word</Application>
  <DocSecurity>0</DocSecurity>
  <Lines>81</Lines>
  <Paragraphs>15</Paragraphs>
  <ScaleCrop>false</ScaleCrop>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Domazet</dc:creator>
  <cp:keywords/>
  <dc:description/>
  <cp:lastModifiedBy>Dragan Domazet</cp:lastModifiedBy>
  <cp:revision>7</cp:revision>
  <dcterms:created xsi:type="dcterms:W3CDTF">2017-01-07T08:00:00Z</dcterms:created>
  <dcterms:modified xsi:type="dcterms:W3CDTF">2019-04-16T21:16:00Z</dcterms:modified>
</cp:coreProperties>
</file>