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EC627" w14:textId="77777777" w:rsidR="00EE0BF5" w:rsidRDefault="00EE0BF5" w:rsidP="00EE0BF5">
      <w:pPr>
        <w:spacing w:before="0"/>
        <w:jc w:val="left"/>
        <w:rPr>
          <w:rFonts w:eastAsia="Calibri" w:cs="Arial"/>
          <w:b/>
          <w:lang w:eastAsia="de-DE"/>
        </w:rPr>
      </w:pPr>
    </w:p>
    <w:p w14:paraId="0F748736" w14:textId="77777777" w:rsidR="00EE0BF5" w:rsidRDefault="00EE0BF5" w:rsidP="00EE0BF5">
      <w:pPr>
        <w:spacing w:before="0"/>
        <w:jc w:val="left"/>
        <w:rPr>
          <w:rFonts w:eastAsia="Calibri" w:cs="Arial"/>
          <w:b/>
          <w:lang w:eastAsia="de-DE"/>
        </w:rPr>
      </w:pPr>
    </w:p>
    <w:p w14:paraId="0473C936" w14:textId="77777777" w:rsidR="00EE0BF5" w:rsidRPr="00D17E12" w:rsidRDefault="00EE0BF5" w:rsidP="00EE0BF5">
      <w:pPr>
        <w:spacing w:before="0"/>
        <w:jc w:val="center"/>
      </w:pPr>
      <w:r>
        <w:rPr>
          <w:rFonts w:eastAsia="Calibri" w:cs="Arial"/>
          <w:b/>
          <w:lang w:eastAsia="de-DE"/>
        </w:rPr>
        <w:t>Act.WP2.6</w:t>
      </w:r>
      <w:r w:rsidRPr="00EC6EA5">
        <w:rPr>
          <w:rFonts w:eastAsia="Calibri" w:cs="Arial"/>
          <w:b/>
          <w:lang w:eastAsia="de-DE"/>
        </w:rPr>
        <w:t xml:space="preserve"> </w:t>
      </w:r>
      <w:r>
        <w:rPr>
          <w:rFonts w:eastAsia="Calibri" w:cs="Arial"/>
          <w:b/>
          <w:lang w:eastAsia="de-DE"/>
        </w:rPr>
        <w:t>Drafted legal documents for adoption of PT&amp;SCHE</w:t>
      </w:r>
      <w:r w:rsidRPr="00EC6EA5">
        <w:rPr>
          <w:rFonts w:eastAsia="Calibri" w:cs="Arial"/>
          <w:b/>
          <w:lang w:eastAsia="de-DE"/>
        </w:rPr>
        <w:br w:type="textWrapping" w:clear="all"/>
      </w:r>
    </w:p>
    <w:p w14:paraId="68FABEA2" w14:textId="77777777" w:rsidR="00EE0BF5" w:rsidRDefault="00EE0BF5" w:rsidP="00EE0BF5">
      <w:pPr>
        <w:jc w:val="center"/>
        <w:rPr>
          <w:rFonts w:eastAsia="Calibri" w:cs="Arial"/>
          <w:b/>
          <w:lang w:eastAsia="de-DE"/>
        </w:rPr>
      </w:pPr>
    </w:p>
    <w:p w14:paraId="76703885" w14:textId="77777777" w:rsidR="00EE0BF5" w:rsidRDefault="00EE0BF5" w:rsidP="00EE0BF5">
      <w:pPr>
        <w:jc w:val="center"/>
        <w:rPr>
          <w:rFonts w:eastAsia="Calibri" w:cs="Arial"/>
          <w:b/>
          <w:lang w:eastAsia="de-DE"/>
        </w:rPr>
      </w:pPr>
    </w:p>
    <w:p w14:paraId="4A354731" w14:textId="77777777" w:rsidR="00EE0BF5" w:rsidRPr="000510FE" w:rsidRDefault="00EE0BF5" w:rsidP="00EE0BF5">
      <w:pPr>
        <w:jc w:val="center"/>
        <w:rPr>
          <w:rFonts w:eastAsia="Calibri" w:cs="Arial"/>
          <w:b/>
          <w:lang w:eastAsia="de-DE"/>
        </w:rPr>
      </w:pPr>
    </w:p>
    <w:p w14:paraId="78F90CD2" w14:textId="77777777" w:rsidR="00EE0BF5" w:rsidRPr="000510FE" w:rsidRDefault="00EE0BF5" w:rsidP="00EE0BF5">
      <w:pPr>
        <w:jc w:val="center"/>
        <w:rPr>
          <w:rFonts w:eastAsia="Calibri" w:cs="Arial"/>
          <w:b/>
          <w:lang w:val="en-GB" w:eastAsia="de-DE"/>
        </w:rPr>
      </w:pPr>
    </w:p>
    <w:p w14:paraId="056DD552" w14:textId="77777777" w:rsidR="00EE0BF5" w:rsidRPr="00B30774" w:rsidRDefault="00EE0BF5" w:rsidP="00EE0BF5">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sidRPr="00B30774">
        <w:rPr>
          <w:rFonts w:eastAsia="Calibri" w:cs="Arial"/>
          <w:b/>
          <w:sz w:val="28"/>
          <w:szCs w:val="28"/>
          <w:lang w:val="en-GB" w:eastAsia="de-DE"/>
        </w:rPr>
        <w:t>Draft</w:t>
      </w:r>
    </w:p>
    <w:p w14:paraId="619D562C" w14:textId="2A88E01E" w:rsidR="00EE0BF5" w:rsidRDefault="00EE0BF5" w:rsidP="00EE0BF5">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Pr>
          <w:rFonts w:eastAsia="Calibri" w:cs="Arial"/>
          <w:b/>
          <w:sz w:val="28"/>
          <w:szCs w:val="28"/>
          <w:lang w:val="en-GB" w:eastAsia="de-DE"/>
        </w:rPr>
        <w:t>Proposal of the Legal Framework of PT Studies</w:t>
      </w:r>
      <w:r w:rsidR="001F2C87">
        <w:rPr>
          <w:rFonts w:eastAsia="Calibri" w:cs="Arial"/>
          <w:b/>
          <w:sz w:val="28"/>
          <w:szCs w:val="28"/>
          <w:lang w:val="en-GB" w:eastAsia="de-DE"/>
        </w:rPr>
        <w:t xml:space="preserve"> in Serbia</w:t>
      </w:r>
      <w:bookmarkStart w:id="0" w:name="_GoBack"/>
      <w:bookmarkEnd w:id="0"/>
    </w:p>
    <w:p w14:paraId="6BFFB657" w14:textId="77777777" w:rsidR="00EE0BF5" w:rsidRPr="000510FE" w:rsidRDefault="00EE0BF5" w:rsidP="00EE0BF5">
      <w:pPr>
        <w:pBdr>
          <w:top w:val="single" w:sz="4" w:space="2" w:color="auto"/>
          <w:left w:val="single" w:sz="4" w:space="4" w:color="auto"/>
          <w:bottom w:val="single" w:sz="4" w:space="1" w:color="auto"/>
          <w:right w:val="single" w:sz="4" w:space="4" w:color="auto"/>
        </w:pBdr>
        <w:jc w:val="center"/>
        <w:rPr>
          <w:rFonts w:eastAsia="Calibri" w:cs="Arial"/>
          <w:b/>
          <w:lang w:val="en-GB" w:eastAsia="de-DE"/>
        </w:rPr>
      </w:pPr>
      <w:r w:rsidRPr="00EC6EA5">
        <w:rPr>
          <w:rFonts w:eastAsia="Calibri" w:cs="Arial"/>
          <w:b/>
          <w:sz w:val="28"/>
          <w:szCs w:val="28"/>
          <w:lang w:val="en-GB" w:eastAsia="de-DE"/>
        </w:rPr>
        <w:t xml:space="preserve"> (in Serbian)</w:t>
      </w:r>
    </w:p>
    <w:p w14:paraId="4C031813" w14:textId="77777777" w:rsidR="00EE0BF5" w:rsidRDefault="00EE0BF5" w:rsidP="00EE0BF5">
      <w:pPr>
        <w:rPr>
          <w:rFonts w:ascii="Times New Roman" w:eastAsia="Calibri" w:hAnsi="Times New Roman" w:cs="Arial"/>
          <w:b/>
          <w:lang w:val="en-GB" w:eastAsia="de-DE"/>
        </w:rPr>
      </w:pPr>
    </w:p>
    <w:p w14:paraId="2DBF5D1B" w14:textId="77777777" w:rsidR="00EE0BF5" w:rsidRPr="000510FE" w:rsidRDefault="00EE0BF5" w:rsidP="00EE0BF5">
      <w:pPr>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EE0BF5" w:rsidRPr="000510FE" w14:paraId="50A7BC68" w14:textId="77777777" w:rsidTr="0005138C">
        <w:trPr>
          <w:trHeight w:val="230"/>
          <w:jc w:val="center"/>
        </w:trPr>
        <w:tc>
          <w:tcPr>
            <w:tcW w:w="2476" w:type="dxa"/>
            <w:shd w:val="clear" w:color="auto" w:fill="BFBFBF"/>
            <w:vAlign w:val="center"/>
          </w:tcPr>
          <w:p w14:paraId="2163A43C" w14:textId="77777777" w:rsidR="00EE0BF5" w:rsidRPr="00945C9D" w:rsidRDefault="00EE0BF5" w:rsidP="0005138C">
            <w:pPr>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14:paraId="06A059F5" w14:textId="77777777" w:rsidR="00EE0BF5" w:rsidRPr="00945C9D" w:rsidRDefault="00EE0BF5" w:rsidP="0005138C">
            <w:pPr>
              <w:rPr>
                <w:rFonts w:cs="Arial"/>
                <w:sz w:val="20"/>
                <w:szCs w:val="20"/>
                <w:lang w:val="en-GB"/>
              </w:rPr>
            </w:pPr>
            <w:r w:rsidRPr="00945C9D">
              <w:rPr>
                <w:rFonts w:cs="Arial"/>
                <w:sz w:val="20"/>
                <w:szCs w:val="20"/>
                <w:lang w:val="en-GB"/>
              </w:rPr>
              <w:t xml:space="preserve">PT&amp;SCHE </w:t>
            </w:r>
          </w:p>
        </w:tc>
      </w:tr>
      <w:tr w:rsidR="00EE0BF5" w:rsidRPr="000510FE" w14:paraId="063438B1" w14:textId="77777777" w:rsidTr="0005138C">
        <w:trPr>
          <w:jc w:val="center"/>
        </w:trPr>
        <w:tc>
          <w:tcPr>
            <w:tcW w:w="2476" w:type="dxa"/>
            <w:shd w:val="clear" w:color="auto" w:fill="BFBFBF"/>
            <w:vAlign w:val="center"/>
          </w:tcPr>
          <w:p w14:paraId="4DF3C8A8" w14:textId="77777777" w:rsidR="00EE0BF5" w:rsidRPr="00945C9D" w:rsidRDefault="00EE0BF5" w:rsidP="0005138C">
            <w:pPr>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14:paraId="1C65BDEF" w14:textId="77777777" w:rsidR="00EE0BF5" w:rsidRPr="00945C9D" w:rsidRDefault="00EE0BF5" w:rsidP="0005138C">
            <w:pPr>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EE0BF5" w:rsidRPr="000510FE" w14:paraId="205CE4ED" w14:textId="77777777" w:rsidTr="0005138C">
        <w:trPr>
          <w:jc w:val="center"/>
        </w:trPr>
        <w:tc>
          <w:tcPr>
            <w:tcW w:w="2476" w:type="dxa"/>
            <w:shd w:val="clear" w:color="auto" w:fill="BFBFBF"/>
            <w:vAlign w:val="center"/>
          </w:tcPr>
          <w:p w14:paraId="1C6FA0FD" w14:textId="77777777" w:rsidR="00EE0BF5" w:rsidRPr="00945C9D" w:rsidRDefault="00EE0BF5" w:rsidP="0005138C">
            <w:pPr>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14:paraId="017FD6B7" w14:textId="77777777" w:rsidR="00EE0BF5" w:rsidRPr="00945C9D" w:rsidRDefault="00EE0BF5" w:rsidP="0005138C">
            <w:pPr>
              <w:rPr>
                <w:rFonts w:cs="Arial"/>
                <w:sz w:val="20"/>
                <w:szCs w:val="20"/>
                <w:lang w:val="en-GB" w:eastAsia="hu-HU"/>
              </w:rPr>
            </w:pPr>
            <w:r w:rsidRPr="00994671">
              <w:rPr>
                <w:rFonts w:cs="Arial"/>
                <w:sz w:val="20"/>
                <w:szCs w:val="20"/>
                <w:lang w:val="en-GB"/>
              </w:rPr>
              <w:t>561868-EPP-1-2015-1-EE-EPPKA2-CBHE-SP</w:t>
            </w:r>
          </w:p>
        </w:tc>
      </w:tr>
      <w:tr w:rsidR="00EE0BF5" w:rsidRPr="000510FE" w14:paraId="26C65865" w14:textId="77777777" w:rsidTr="0005138C">
        <w:trPr>
          <w:jc w:val="center"/>
        </w:trPr>
        <w:tc>
          <w:tcPr>
            <w:tcW w:w="2476" w:type="dxa"/>
            <w:shd w:val="clear" w:color="auto" w:fill="BFBFBF"/>
            <w:vAlign w:val="center"/>
          </w:tcPr>
          <w:p w14:paraId="26C725A7" w14:textId="77777777" w:rsidR="00EE0BF5" w:rsidRPr="00945C9D" w:rsidRDefault="00EE0BF5" w:rsidP="0005138C">
            <w:pPr>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14:paraId="40FC3692" w14:textId="77777777" w:rsidR="00EE0BF5" w:rsidRPr="00945C9D" w:rsidRDefault="00EE0BF5" w:rsidP="0005138C">
            <w:pPr>
              <w:rPr>
                <w:rFonts w:cs="Arial"/>
                <w:sz w:val="20"/>
                <w:szCs w:val="20"/>
                <w:lang w:val="en-GB" w:eastAsia="hu-HU"/>
              </w:rPr>
            </w:pPr>
            <w:r w:rsidRPr="00945C9D">
              <w:rPr>
                <w:rFonts w:cs="Arial"/>
                <w:sz w:val="20"/>
                <w:szCs w:val="20"/>
                <w:lang w:val="en-GB"/>
              </w:rPr>
              <w:t>ERASMUS+</w:t>
            </w:r>
          </w:p>
        </w:tc>
      </w:tr>
      <w:tr w:rsidR="00EE0BF5" w:rsidRPr="000510FE" w14:paraId="3CA2EB9F" w14:textId="77777777" w:rsidTr="0005138C">
        <w:trPr>
          <w:jc w:val="center"/>
        </w:trPr>
        <w:tc>
          <w:tcPr>
            <w:tcW w:w="2476" w:type="dxa"/>
            <w:shd w:val="clear" w:color="auto" w:fill="BFBFBF"/>
            <w:vAlign w:val="center"/>
          </w:tcPr>
          <w:p w14:paraId="2239D24A" w14:textId="77777777" w:rsidR="00EE0BF5" w:rsidRPr="00945C9D" w:rsidRDefault="00EE0BF5" w:rsidP="0005138C">
            <w:pPr>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14:paraId="1F45322F" w14:textId="77777777" w:rsidR="00EE0BF5" w:rsidRPr="00945C9D" w:rsidRDefault="00EE0BF5" w:rsidP="0005138C">
            <w:pPr>
              <w:rPr>
                <w:rFonts w:cs="Arial"/>
                <w:sz w:val="20"/>
                <w:szCs w:val="20"/>
                <w:highlight w:val="yellow"/>
                <w:lang w:val="en-GB" w:eastAsia="hu-HU"/>
              </w:rPr>
            </w:pPr>
            <w:r w:rsidRPr="00945C9D">
              <w:rPr>
                <w:rFonts w:cs="Arial"/>
                <w:sz w:val="20"/>
                <w:szCs w:val="20"/>
                <w:lang w:val="en-GB" w:eastAsia="hu-HU"/>
              </w:rPr>
              <w:t>Tallinn University, TLU</w:t>
            </w:r>
          </w:p>
        </w:tc>
      </w:tr>
      <w:tr w:rsidR="00EE0BF5" w:rsidRPr="000510FE" w14:paraId="1A79C6AC" w14:textId="77777777" w:rsidTr="0005138C">
        <w:trPr>
          <w:jc w:val="center"/>
        </w:trPr>
        <w:tc>
          <w:tcPr>
            <w:tcW w:w="2476" w:type="dxa"/>
            <w:shd w:val="clear" w:color="auto" w:fill="BFBFBF"/>
            <w:vAlign w:val="center"/>
          </w:tcPr>
          <w:p w14:paraId="51361597" w14:textId="77777777" w:rsidR="00EE0BF5" w:rsidRPr="00945C9D" w:rsidRDefault="00EE0BF5" w:rsidP="0005138C">
            <w:pPr>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14:paraId="22E7321A" w14:textId="77777777" w:rsidR="00EE0BF5" w:rsidRPr="00945C9D" w:rsidRDefault="00EE0BF5" w:rsidP="0005138C">
            <w:pPr>
              <w:rPr>
                <w:rFonts w:cs="Arial"/>
                <w:sz w:val="20"/>
                <w:szCs w:val="20"/>
                <w:highlight w:val="yellow"/>
                <w:lang w:val="en-GB" w:eastAsia="hu-HU"/>
              </w:rPr>
            </w:pPr>
            <w:r w:rsidRPr="00EC6EA5">
              <w:rPr>
                <w:rFonts w:cs="Arial"/>
                <w:sz w:val="20"/>
                <w:szCs w:val="20"/>
                <w:lang w:val="en-GB"/>
              </w:rPr>
              <w:t>October 15, 2015</w:t>
            </w:r>
          </w:p>
        </w:tc>
      </w:tr>
      <w:tr w:rsidR="00EE0BF5" w:rsidRPr="000510FE" w14:paraId="58421459" w14:textId="77777777" w:rsidTr="0005138C">
        <w:trPr>
          <w:jc w:val="center"/>
        </w:trPr>
        <w:tc>
          <w:tcPr>
            <w:tcW w:w="2476" w:type="dxa"/>
            <w:shd w:val="clear" w:color="auto" w:fill="BFBFBF"/>
            <w:vAlign w:val="center"/>
          </w:tcPr>
          <w:p w14:paraId="4CC762F1" w14:textId="77777777" w:rsidR="00EE0BF5" w:rsidRPr="00945C9D" w:rsidRDefault="00EE0BF5" w:rsidP="0005138C">
            <w:pPr>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14:paraId="182B82B5" w14:textId="77777777" w:rsidR="00EE0BF5" w:rsidRPr="00945C9D" w:rsidRDefault="00EE0BF5" w:rsidP="0005138C">
            <w:pPr>
              <w:rPr>
                <w:rFonts w:cs="Arial"/>
                <w:sz w:val="20"/>
                <w:szCs w:val="20"/>
                <w:highlight w:val="yellow"/>
                <w:lang w:val="en-GB" w:eastAsia="hu-HU"/>
              </w:rPr>
            </w:pPr>
            <w:r w:rsidRPr="00945C9D">
              <w:rPr>
                <w:rFonts w:cs="Arial"/>
                <w:sz w:val="20"/>
                <w:szCs w:val="20"/>
                <w:lang w:val="en-GB"/>
              </w:rPr>
              <w:t>36 months</w:t>
            </w:r>
          </w:p>
        </w:tc>
      </w:tr>
    </w:tbl>
    <w:p w14:paraId="7A1375D1" w14:textId="77777777" w:rsidR="00EE0BF5" w:rsidRDefault="00EE0BF5" w:rsidP="00EE0BF5">
      <w:pPr>
        <w:jc w:val="center"/>
        <w:rPr>
          <w:rFonts w:ascii="Times New Roman" w:eastAsia="Calibri" w:hAnsi="Times New Roman" w:cs="Arial"/>
          <w:b/>
          <w:lang w:val="en-GB" w:eastAsia="de-DE"/>
        </w:rPr>
      </w:pPr>
    </w:p>
    <w:p w14:paraId="579BCACF" w14:textId="77777777" w:rsidR="00EE0BF5" w:rsidRPr="000510FE" w:rsidRDefault="00EE0BF5" w:rsidP="00EE0BF5">
      <w:pPr>
        <w:jc w:val="center"/>
        <w:rPr>
          <w:rFonts w:ascii="Times New Roman" w:eastAsia="Calibri" w:hAnsi="Times New Roman" w:cs="Arial"/>
          <w:b/>
          <w:lang w:val="en-GB" w:eastAsia="de-DE"/>
        </w:rPr>
      </w:pPr>
    </w:p>
    <w:p w14:paraId="0EC05905" w14:textId="77777777" w:rsidR="00EE0BF5" w:rsidRDefault="00EE0BF5" w:rsidP="00EE0BF5">
      <w:pPr>
        <w:jc w:val="center"/>
        <w:rPr>
          <w:rFonts w:eastAsia="Times New Roman" w:cs="Arial"/>
          <w:bCs/>
          <w:i/>
          <w:sz w:val="20"/>
          <w:lang w:eastAsia="de-DE"/>
        </w:rPr>
      </w:pPr>
      <w:r>
        <w:rPr>
          <w:rFonts w:eastAsia="Times New Roman" w:cs="Arial"/>
          <w:bCs/>
          <w:i/>
          <w:sz w:val="20"/>
          <w:lang w:eastAsia="de-DE"/>
        </w:rPr>
        <w:t>"The European Commission support for the production of this publication does not constitute an endorsement of the contents which reflects the views only of the authors, and the Commission cannot be held responsi</w:t>
      </w:r>
      <w:r>
        <w:rPr>
          <w:rFonts w:eastAsia="Times New Roman" w:cs="Arial"/>
          <w:bCs/>
          <w:i/>
          <w:sz w:val="20"/>
          <w:lang w:eastAsia="de-DE"/>
        </w:rPr>
        <w:softHyphen/>
        <w:t>ble for any use which may be made of the information contained therein."</w:t>
      </w:r>
    </w:p>
    <w:tbl>
      <w:tblPr>
        <w:tblpPr w:leftFromText="180" w:rightFromText="180" w:vertAnchor="text" w:horzAnchor="page" w:tblpX="1549" w:tblpY="-95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EE0BF5" w:rsidRPr="000510FE" w14:paraId="73BB2552" w14:textId="77777777" w:rsidTr="0005138C">
        <w:trPr>
          <w:trHeight w:val="230"/>
        </w:trPr>
        <w:tc>
          <w:tcPr>
            <w:tcW w:w="2476" w:type="dxa"/>
            <w:shd w:val="clear" w:color="auto" w:fill="BFBFBF" w:themeFill="background1" w:themeFillShade="BF"/>
            <w:vAlign w:val="center"/>
          </w:tcPr>
          <w:p w14:paraId="0423C4ED" w14:textId="77777777" w:rsidR="00EE0BF5" w:rsidRPr="000510FE" w:rsidRDefault="00EE0BF5" w:rsidP="0005138C">
            <w:pPr>
              <w:rPr>
                <w:lang w:val="en-GB"/>
              </w:rPr>
            </w:pPr>
            <w:r w:rsidRPr="000510FE">
              <w:rPr>
                <w:lang w:val="en-GB"/>
              </w:rPr>
              <w:t>Abstract</w:t>
            </w:r>
          </w:p>
          <w:p w14:paraId="6B465CBC" w14:textId="77777777" w:rsidR="00EE0BF5" w:rsidRPr="000510FE" w:rsidRDefault="00EE0BF5" w:rsidP="0005138C">
            <w:pPr>
              <w:rPr>
                <w:lang w:val="en-GB"/>
              </w:rPr>
            </w:pPr>
          </w:p>
        </w:tc>
        <w:tc>
          <w:tcPr>
            <w:tcW w:w="6704" w:type="dxa"/>
            <w:shd w:val="clear" w:color="auto" w:fill="auto"/>
            <w:vAlign w:val="center"/>
          </w:tcPr>
          <w:p w14:paraId="056091AF" w14:textId="1F21BD4B" w:rsidR="00EE0BF5" w:rsidRDefault="00EE0BF5" w:rsidP="0005138C">
            <w:pPr>
              <w:rPr>
                <w:lang w:val="en-GB"/>
              </w:rPr>
            </w:pPr>
            <w:r>
              <w:rPr>
                <w:lang w:val="en-GB"/>
              </w:rPr>
              <w:t xml:space="preserve">This working document is planned to propose </w:t>
            </w:r>
            <w:r>
              <w:rPr>
                <w:lang w:val="en-GB"/>
              </w:rPr>
              <w:t>the legal framework of PT Studies It is one of the base documents to be used for development of the final deliverable for WP2.</w:t>
            </w:r>
            <w:r>
              <w:rPr>
                <w:lang w:val="en-GB"/>
              </w:rPr>
              <w:t xml:space="preserve">. </w:t>
            </w:r>
          </w:p>
          <w:p w14:paraId="64C1A3F0" w14:textId="77777777" w:rsidR="00EE0BF5" w:rsidRPr="000510FE" w:rsidRDefault="00EE0BF5" w:rsidP="0005138C">
            <w:pPr>
              <w:rPr>
                <w:lang w:val="en-GB"/>
              </w:rPr>
            </w:pPr>
          </w:p>
        </w:tc>
      </w:tr>
    </w:tbl>
    <w:p w14:paraId="6D93B3A5" w14:textId="77777777" w:rsidR="00EE0BF5" w:rsidRPr="00434EAA" w:rsidRDefault="00EE0BF5" w:rsidP="00EE0BF5">
      <w:pPr>
        <w:jc w:val="center"/>
        <w:rPr>
          <w:rFonts w:ascii="Times New Roman" w:eastAsia="Calibri" w:hAnsi="Times New Roman" w:cs="Arial"/>
          <w:b/>
          <w:lang w:eastAsia="de-DE"/>
        </w:rPr>
      </w:pPr>
    </w:p>
    <w:p w14:paraId="565FC0B1" w14:textId="77777777" w:rsidR="00EE0BF5" w:rsidRPr="000510FE" w:rsidRDefault="00EE0BF5" w:rsidP="00EE0BF5">
      <w:pPr>
        <w:rPr>
          <w:rFonts w:ascii="Times New Roman" w:eastAsia="Calibri" w:hAnsi="Times New Roman" w:cs="Arial"/>
          <w:b/>
          <w:lang w:val="en-GB" w:eastAsia="de-DE"/>
        </w:rPr>
      </w:pPr>
    </w:p>
    <w:p w14:paraId="32703AF7" w14:textId="77777777" w:rsidR="00EE0BF5" w:rsidRDefault="00EE0BF5" w:rsidP="00EE0BF5">
      <w:bookmarkStart w:id="1" w:name="_Toc347927424"/>
      <w:bookmarkStart w:id="2" w:name="_Toc437508904"/>
    </w:p>
    <w:bookmarkEnd w:id="1"/>
    <w:bookmarkEnd w:id="2"/>
    <w:p w14:paraId="1692E874" w14:textId="77777777" w:rsidR="00EE0BF5" w:rsidRDefault="00EE0BF5" w:rsidP="00EE0BF5">
      <w:pPr>
        <w:rPr>
          <w:rFonts w:eastAsia="Calibri" w:cs="Arial"/>
          <w:bCs/>
          <w:sz w:val="20"/>
          <w:szCs w:val="20"/>
          <w:lang w:val="en-GB" w:eastAsia="de-DE"/>
        </w:rPr>
      </w:pPr>
    </w:p>
    <w:p w14:paraId="1CEC7200" w14:textId="77777777" w:rsidR="00EE0BF5" w:rsidRDefault="00EE0BF5" w:rsidP="00EE0BF5"/>
    <w:p w14:paraId="35DE24E5" w14:textId="77777777" w:rsidR="00EE0BF5" w:rsidRDefault="00EE0BF5" w:rsidP="00EE0BF5"/>
    <w:p w14:paraId="263A3631" w14:textId="77777777" w:rsidR="00EE0BF5" w:rsidRDefault="00EE0BF5" w:rsidP="00EE0BF5">
      <w:r>
        <w:t xml:space="preserve">VERSIONING AND CONTRIBUTION HISTORY </w:t>
      </w:r>
    </w:p>
    <w:p w14:paraId="223DB6D7" w14:textId="77777777" w:rsidR="00EE0BF5" w:rsidRPr="000510FE" w:rsidRDefault="00EE0BF5" w:rsidP="00EE0BF5">
      <w:pPr>
        <w:rPr>
          <w:rFonts w:eastAsia="Calibri" w:cs="Arial"/>
          <w:bCs/>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8"/>
        <w:gridCol w:w="1997"/>
        <w:gridCol w:w="3243"/>
        <w:gridCol w:w="2620"/>
      </w:tblGrid>
      <w:tr w:rsidR="00EE0BF5" w14:paraId="1E511DCE"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49C230F" w14:textId="77777777" w:rsidR="00EE0BF5" w:rsidRDefault="00EE0BF5" w:rsidP="0005138C">
            <w:pPr>
              <w:rPr>
                <w:lang w:val="en-GB"/>
              </w:rPr>
            </w:pPr>
            <w:r>
              <w:rPr>
                <w:lang w:val="en-GB"/>
              </w:rPr>
              <w:t>Version</w:t>
            </w:r>
          </w:p>
        </w:tc>
        <w:tc>
          <w:tcPr>
            <w:tcW w:w="199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4F9BED4" w14:textId="77777777" w:rsidR="00EE0BF5" w:rsidRDefault="00EE0BF5" w:rsidP="0005138C">
            <w:pPr>
              <w:rPr>
                <w:lang w:val="en-GB"/>
              </w:rPr>
            </w:pPr>
            <w:r>
              <w:rPr>
                <w:lang w:val="en-GB"/>
              </w:rPr>
              <w:t>Date</w:t>
            </w:r>
          </w:p>
        </w:tc>
        <w:tc>
          <w:tcPr>
            <w:tcW w:w="324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5C1AB6B0" w14:textId="77777777" w:rsidR="00EE0BF5" w:rsidRDefault="00EE0BF5" w:rsidP="0005138C">
            <w:pPr>
              <w:rPr>
                <w:lang w:val="en-GB"/>
              </w:rPr>
            </w:pPr>
            <w:r>
              <w:rPr>
                <w:lang w:val="en-GB"/>
              </w:rPr>
              <w:t>Revision Description</w:t>
            </w:r>
          </w:p>
        </w:tc>
        <w:tc>
          <w:tcPr>
            <w:tcW w:w="26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07DF5874" w14:textId="77777777" w:rsidR="00EE0BF5" w:rsidRDefault="00EE0BF5" w:rsidP="0005138C">
            <w:pPr>
              <w:rPr>
                <w:lang w:val="en-GB"/>
              </w:rPr>
            </w:pPr>
            <w:r>
              <w:rPr>
                <w:lang w:val="en-GB"/>
              </w:rPr>
              <w:t xml:space="preserve">Partner responsible </w:t>
            </w:r>
          </w:p>
        </w:tc>
      </w:tr>
      <w:tr w:rsidR="00EE0BF5" w14:paraId="6A120C11"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28F11C23" w14:textId="77777777" w:rsidR="00EE0BF5" w:rsidRDefault="00EE0BF5" w:rsidP="0005138C">
            <w:pPr>
              <w:rPr>
                <w:lang w:val="en-GB"/>
              </w:rPr>
            </w:pPr>
            <w:r>
              <w:rPr>
                <w:lang w:val="en-GB"/>
              </w:rPr>
              <w:t>1.0</w:t>
            </w:r>
          </w:p>
        </w:tc>
        <w:tc>
          <w:tcPr>
            <w:tcW w:w="1997" w:type="dxa"/>
            <w:tcBorders>
              <w:top w:val="single" w:sz="8" w:space="0" w:color="auto"/>
              <w:left w:val="single" w:sz="8" w:space="0" w:color="auto"/>
              <w:bottom w:val="single" w:sz="8" w:space="0" w:color="auto"/>
              <w:right w:val="single" w:sz="8" w:space="0" w:color="auto"/>
            </w:tcBorders>
            <w:vAlign w:val="center"/>
          </w:tcPr>
          <w:p w14:paraId="44D13C50" w14:textId="77777777" w:rsidR="00EE0BF5" w:rsidRDefault="00EE0BF5" w:rsidP="0005138C">
            <w:pPr>
              <w:rPr>
                <w:lang w:val="en-GB"/>
              </w:rPr>
            </w:pPr>
            <w:r>
              <w:rPr>
                <w:lang w:val="en-GB"/>
              </w:rPr>
              <w:t>25.3.2017</w:t>
            </w:r>
          </w:p>
        </w:tc>
        <w:tc>
          <w:tcPr>
            <w:tcW w:w="3243" w:type="dxa"/>
            <w:tcBorders>
              <w:top w:val="single" w:sz="8" w:space="0" w:color="auto"/>
              <w:left w:val="single" w:sz="8" w:space="0" w:color="auto"/>
              <w:bottom w:val="single" w:sz="8" w:space="0" w:color="auto"/>
              <w:right w:val="single" w:sz="8" w:space="0" w:color="auto"/>
            </w:tcBorders>
            <w:vAlign w:val="center"/>
          </w:tcPr>
          <w:p w14:paraId="2A039B7C" w14:textId="77777777" w:rsidR="00EE0BF5" w:rsidRDefault="00EE0BF5" w:rsidP="0005138C">
            <w:pPr>
              <w:rPr>
                <w:lang w:val="en-GB"/>
              </w:rPr>
            </w:pPr>
            <w:r>
              <w:rPr>
                <w:lang w:val="en-GB"/>
              </w:rPr>
              <w:t>Initial version</w:t>
            </w:r>
          </w:p>
        </w:tc>
        <w:tc>
          <w:tcPr>
            <w:tcW w:w="2620" w:type="dxa"/>
            <w:tcBorders>
              <w:top w:val="single" w:sz="8" w:space="0" w:color="auto"/>
              <w:left w:val="single" w:sz="8" w:space="0" w:color="auto"/>
              <w:bottom w:val="single" w:sz="8" w:space="0" w:color="auto"/>
              <w:right w:val="single" w:sz="8" w:space="0" w:color="auto"/>
            </w:tcBorders>
            <w:vAlign w:val="center"/>
          </w:tcPr>
          <w:p w14:paraId="6770B664" w14:textId="77777777" w:rsidR="00EE0BF5" w:rsidRDefault="00EE0BF5" w:rsidP="0005138C">
            <w:pPr>
              <w:rPr>
                <w:lang w:val="en-GB"/>
              </w:rPr>
            </w:pPr>
            <w:r>
              <w:rPr>
                <w:lang w:val="en-GB"/>
              </w:rPr>
              <w:t>BMU (D.Domazet)</w:t>
            </w:r>
          </w:p>
        </w:tc>
      </w:tr>
      <w:tr w:rsidR="00EE0BF5" w14:paraId="56F1F3F7" w14:textId="77777777" w:rsidTr="0005138C">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5165DE0A" w14:textId="77777777" w:rsidR="00EE0BF5" w:rsidRDefault="00EE0BF5" w:rsidP="0005138C">
            <w:pPr>
              <w:rPr>
                <w:lang w:val="en-GB"/>
              </w:rPr>
            </w:pPr>
            <w:r>
              <w:rPr>
                <w:lang w:val="en-GB"/>
              </w:rPr>
              <w:t>2.0</w:t>
            </w:r>
          </w:p>
        </w:tc>
        <w:tc>
          <w:tcPr>
            <w:tcW w:w="1997" w:type="dxa"/>
            <w:tcBorders>
              <w:top w:val="single" w:sz="8" w:space="0" w:color="auto"/>
              <w:left w:val="single" w:sz="8" w:space="0" w:color="auto"/>
              <w:bottom w:val="single" w:sz="8" w:space="0" w:color="auto"/>
              <w:right w:val="single" w:sz="8" w:space="0" w:color="auto"/>
            </w:tcBorders>
            <w:vAlign w:val="center"/>
          </w:tcPr>
          <w:p w14:paraId="4C03F4C2" w14:textId="77777777" w:rsidR="00EE0BF5" w:rsidRDefault="00EE0BF5" w:rsidP="0005138C">
            <w:pPr>
              <w:rPr>
                <w:lang w:val="en-GB"/>
              </w:rPr>
            </w:pPr>
            <w:r>
              <w:rPr>
                <w:lang w:val="en-GB"/>
              </w:rPr>
              <w:t>19.4.2017</w:t>
            </w:r>
          </w:p>
        </w:tc>
        <w:tc>
          <w:tcPr>
            <w:tcW w:w="3243" w:type="dxa"/>
            <w:tcBorders>
              <w:top w:val="single" w:sz="8" w:space="0" w:color="auto"/>
              <w:left w:val="single" w:sz="8" w:space="0" w:color="auto"/>
              <w:bottom w:val="single" w:sz="8" w:space="0" w:color="auto"/>
              <w:right w:val="single" w:sz="8" w:space="0" w:color="auto"/>
            </w:tcBorders>
            <w:vAlign w:val="center"/>
          </w:tcPr>
          <w:p w14:paraId="4ED1891F" w14:textId="77777777" w:rsidR="00EE0BF5" w:rsidRDefault="00EE0BF5" w:rsidP="0005138C">
            <w:pPr>
              <w:rPr>
                <w:lang w:val="en-GB"/>
              </w:rPr>
            </w:pPr>
            <w:r>
              <w:rPr>
                <w:lang w:val="en-GB"/>
              </w:rPr>
              <w:t>Final proposal</w:t>
            </w:r>
          </w:p>
        </w:tc>
        <w:tc>
          <w:tcPr>
            <w:tcW w:w="2620" w:type="dxa"/>
            <w:tcBorders>
              <w:top w:val="single" w:sz="8" w:space="0" w:color="auto"/>
              <w:left w:val="single" w:sz="8" w:space="0" w:color="auto"/>
              <w:bottom w:val="single" w:sz="8" w:space="0" w:color="auto"/>
              <w:right w:val="single" w:sz="8" w:space="0" w:color="auto"/>
            </w:tcBorders>
            <w:vAlign w:val="center"/>
          </w:tcPr>
          <w:p w14:paraId="57865183" w14:textId="77777777" w:rsidR="00EE0BF5" w:rsidRDefault="00EE0BF5" w:rsidP="0005138C">
            <w:pPr>
              <w:rPr>
                <w:lang w:val="en-GB"/>
              </w:rPr>
            </w:pPr>
            <w:r>
              <w:rPr>
                <w:lang w:val="en-GB"/>
              </w:rPr>
              <w:t>BMU (D.Domazet)</w:t>
            </w:r>
          </w:p>
        </w:tc>
      </w:tr>
      <w:tr w:rsidR="00EE0BF5" w14:paraId="78492A6E"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1B2941B8" w14:textId="77777777" w:rsidR="00EE0BF5" w:rsidRDefault="00EE0BF5"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18CAF468" w14:textId="77777777" w:rsidR="00EE0BF5" w:rsidRDefault="00EE0BF5"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3D0EF4FA" w14:textId="77777777" w:rsidR="00EE0BF5" w:rsidRDefault="00EE0BF5"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01D8E155" w14:textId="77777777" w:rsidR="00EE0BF5" w:rsidRDefault="00EE0BF5" w:rsidP="0005138C">
            <w:pPr>
              <w:rPr>
                <w:lang w:val="en-GB"/>
              </w:rPr>
            </w:pPr>
          </w:p>
        </w:tc>
      </w:tr>
      <w:tr w:rsidR="00EE0BF5" w14:paraId="5233C326"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9EDB2C7" w14:textId="77777777" w:rsidR="00EE0BF5" w:rsidRDefault="00EE0BF5"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1EF04D98" w14:textId="77777777" w:rsidR="00EE0BF5" w:rsidRDefault="00EE0BF5"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03DD76C5" w14:textId="77777777" w:rsidR="00EE0BF5" w:rsidRDefault="00EE0BF5"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62222008" w14:textId="77777777" w:rsidR="00EE0BF5" w:rsidRDefault="00EE0BF5" w:rsidP="0005138C">
            <w:pPr>
              <w:rPr>
                <w:lang w:val="en-GB"/>
              </w:rPr>
            </w:pPr>
          </w:p>
        </w:tc>
      </w:tr>
      <w:tr w:rsidR="00EE0BF5" w14:paraId="62542ACC"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6D26664" w14:textId="77777777" w:rsidR="00EE0BF5" w:rsidRDefault="00EE0BF5"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70AEDF25" w14:textId="77777777" w:rsidR="00EE0BF5" w:rsidRDefault="00EE0BF5"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7FB37FF4" w14:textId="77777777" w:rsidR="00EE0BF5" w:rsidRDefault="00EE0BF5"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2440BB0A" w14:textId="77777777" w:rsidR="00EE0BF5" w:rsidRDefault="00EE0BF5" w:rsidP="0005138C">
            <w:pPr>
              <w:rPr>
                <w:lang w:val="en-GB"/>
              </w:rPr>
            </w:pPr>
          </w:p>
        </w:tc>
      </w:tr>
      <w:tr w:rsidR="00EE0BF5" w14:paraId="47AA6A13"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51FACED7" w14:textId="77777777" w:rsidR="00EE0BF5" w:rsidRDefault="00EE0BF5"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1DDDFC2D" w14:textId="77777777" w:rsidR="00EE0BF5" w:rsidRDefault="00EE0BF5"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68201DAA" w14:textId="77777777" w:rsidR="00EE0BF5" w:rsidRDefault="00EE0BF5"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331F025D" w14:textId="77777777" w:rsidR="00EE0BF5" w:rsidRDefault="00EE0BF5" w:rsidP="0005138C">
            <w:pPr>
              <w:rPr>
                <w:lang w:val="en-GB"/>
              </w:rPr>
            </w:pPr>
          </w:p>
        </w:tc>
      </w:tr>
      <w:tr w:rsidR="00EE0BF5" w14:paraId="156D10E8"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6FB42EE5" w14:textId="77777777" w:rsidR="00EE0BF5" w:rsidRDefault="00EE0BF5"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E77F8C8" w14:textId="77777777" w:rsidR="00EE0BF5" w:rsidRDefault="00EE0BF5"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0B8FF896" w14:textId="77777777" w:rsidR="00EE0BF5" w:rsidRDefault="00EE0BF5"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2D404392" w14:textId="77777777" w:rsidR="00EE0BF5" w:rsidRDefault="00EE0BF5" w:rsidP="0005138C">
            <w:pPr>
              <w:rPr>
                <w:lang w:val="en-GB"/>
              </w:rPr>
            </w:pPr>
          </w:p>
        </w:tc>
      </w:tr>
      <w:tr w:rsidR="00EE0BF5" w14:paraId="67335885"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142E5818" w14:textId="77777777" w:rsidR="00EE0BF5" w:rsidRDefault="00EE0BF5"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50F652F4" w14:textId="77777777" w:rsidR="00EE0BF5" w:rsidRDefault="00EE0BF5"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4D94A5D" w14:textId="77777777" w:rsidR="00EE0BF5" w:rsidRDefault="00EE0BF5"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6F067E97" w14:textId="77777777" w:rsidR="00EE0BF5" w:rsidRDefault="00EE0BF5" w:rsidP="0005138C">
            <w:pPr>
              <w:rPr>
                <w:lang w:val="en-GB"/>
              </w:rPr>
            </w:pPr>
          </w:p>
        </w:tc>
      </w:tr>
      <w:tr w:rsidR="00EE0BF5" w14:paraId="2BF86548"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7D7D549" w14:textId="77777777" w:rsidR="00EE0BF5" w:rsidRDefault="00EE0BF5"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E1E2BBB" w14:textId="77777777" w:rsidR="00EE0BF5" w:rsidRDefault="00EE0BF5"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6809973" w14:textId="77777777" w:rsidR="00EE0BF5" w:rsidRDefault="00EE0BF5"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5E8B95A3" w14:textId="77777777" w:rsidR="00EE0BF5" w:rsidRDefault="00EE0BF5" w:rsidP="0005138C">
            <w:pPr>
              <w:rPr>
                <w:lang w:val="en-GB"/>
              </w:rPr>
            </w:pPr>
          </w:p>
        </w:tc>
      </w:tr>
      <w:tr w:rsidR="00EE0BF5" w14:paraId="4F7AE66D"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7352578A" w14:textId="77777777" w:rsidR="00EE0BF5" w:rsidRDefault="00EE0BF5"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38F547EA" w14:textId="77777777" w:rsidR="00EE0BF5" w:rsidRDefault="00EE0BF5"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34D49C5F" w14:textId="77777777" w:rsidR="00EE0BF5" w:rsidRDefault="00EE0BF5"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5B7FC379" w14:textId="77777777" w:rsidR="00EE0BF5" w:rsidRDefault="00EE0BF5" w:rsidP="0005138C">
            <w:pPr>
              <w:rPr>
                <w:lang w:val="en-GB"/>
              </w:rPr>
            </w:pPr>
          </w:p>
        </w:tc>
      </w:tr>
      <w:tr w:rsidR="00EE0BF5" w14:paraId="502F655A"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8E6CBE6" w14:textId="77777777" w:rsidR="00EE0BF5" w:rsidRDefault="00EE0BF5"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09290A67" w14:textId="77777777" w:rsidR="00EE0BF5" w:rsidRDefault="00EE0BF5"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0680CEB7" w14:textId="77777777" w:rsidR="00EE0BF5" w:rsidRDefault="00EE0BF5"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1686E5ED" w14:textId="77777777" w:rsidR="00EE0BF5" w:rsidRDefault="00EE0BF5" w:rsidP="0005138C">
            <w:pPr>
              <w:rPr>
                <w:lang w:val="en-GB"/>
              </w:rPr>
            </w:pPr>
          </w:p>
        </w:tc>
      </w:tr>
      <w:tr w:rsidR="00EE0BF5" w14:paraId="27C87C1F" w14:textId="77777777" w:rsidTr="0005138C">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455006A3" w14:textId="77777777" w:rsidR="00EE0BF5" w:rsidRDefault="00EE0BF5" w:rsidP="0005138C">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2A1B65FF" w14:textId="77777777" w:rsidR="00EE0BF5" w:rsidRDefault="00EE0BF5" w:rsidP="0005138C">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7824A5C0" w14:textId="77777777" w:rsidR="00EE0BF5" w:rsidRDefault="00EE0BF5" w:rsidP="0005138C">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30F7A6D8" w14:textId="77777777" w:rsidR="00EE0BF5" w:rsidRDefault="00EE0BF5" w:rsidP="0005138C">
            <w:pPr>
              <w:rPr>
                <w:lang w:val="en-GB"/>
              </w:rPr>
            </w:pPr>
          </w:p>
        </w:tc>
      </w:tr>
    </w:tbl>
    <w:p w14:paraId="514E67F5" w14:textId="77777777" w:rsidR="00EE0BF5" w:rsidRPr="000510FE" w:rsidRDefault="00EE0BF5" w:rsidP="00EE0BF5">
      <w:pPr>
        <w:rPr>
          <w:rFonts w:eastAsia="Calibri" w:cs="Arial"/>
          <w:bCs/>
          <w:sz w:val="20"/>
          <w:szCs w:val="20"/>
          <w:lang w:val="en-GB" w:eastAsia="de-DE"/>
        </w:rPr>
      </w:pPr>
    </w:p>
    <w:p w14:paraId="1C110B17" w14:textId="54E33BAF" w:rsidR="00EE0BF5" w:rsidRDefault="00EE0BF5">
      <w:pPr>
        <w:spacing w:before="0"/>
        <w:jc w:val="left"/>
        <w:rPr>
          <w:rFonts w:asciiTheme="majorHAnsi" w:eastAsiaTheme="majorEastAsia" w:hAnsiTheme="majorHAnsi" w:cstheme="majorBidi"/>
          <w:color w:val="17365D" w:themeColor="text2" w:themeShade="BF"/>
          <w:spacing w:val="5"/>
          <w:kern w:val="28"/>
          <w:sz w:val="52"/>
          <w:szCs w:val="52"/>
        </w:rPr>
      </w:pPr>
      <w:r>
        <w:br w:type="page"/>
      </w:r>
    </w:p>
    <w:p w14:paraId="2C75899C" w14:textId="77777777" w:rsidR="00EE0BF5" w:rsidRDefault="00EE0BF5" w:rsidP="001A3B21">
      <w:pPr>
        <w:pStyle w:val="Title"/>
      </w:pPr>
    </w:p>
    <w:p w14:paraId="20D59B4D" w14:textId="4B74AF00" w:rsidR="00746643" w:rsidRPr="001A3B21" w:rsidRDefault="00D433E2" w:rsidP="001A3B21">
      <w:pPr>
        <w:pStyle w:val="Title"/>
        <w:rPr>
          <w:lang w:val="sr"/>
        </w:rPr>
      </w:pPr>
      <w:r>
        <w:t xml:space="preserve">Правни оквир </w:t>
      </w:r>
      <w:r w:rsidR="001A3B21">
        <w:rPr>
          <w:lang w:val="sr"/>
        </w:rPr>
        <w:t>продуженог студирања</w:t>
      </w:r>
    </w:p>
    <w:p w14:paraId="09253702" w14:textId="73BBECD0" w:rsidR="001A3B21" w:rsidRDefault="001A3B21" w:rsidP="001A3B21">
      <w:pPr>
        <w:pStyle w:val="Heading1"/>
        <w:rPr>
          <w:lang w:val="uz-Cyrl-UZ"/>
        </w:rPr>
      </w:pPr>
      <w:r>
        <w:rPr>
          <w:lang w:val="uz-Cyrl-UZ"/>
        </w:rPr>
        <w:t>Увод</w:t>
      </w:r>
    </w:p>
    <w:p w14:paraId="105667FD" w14:textId="5E9E078F" w:rsidR="00B05778" w:rsidRPr="008137B8" w:rsidRDefault="001A3B21" w:rsidP="00B05778">
      <w:pPr>
        <w:rPr>
          <w:lang w:val="uz-Cyrl-UZ"/>
        </w:rPr>
      </w:pPr>
      <w:r>
        <w:rPr>
          <w:lang w:val="uz-Cyrl-UZ"/>
        </w:rPr>
        <w:t>Правни оквир за примену продуженог студирања</w:t>
      </w:r>
      <w:r w:rsidR="00312B87">
        <w:rPr>
          <w:lang w:val="uz-Cyrl-UZ"/>
        </w:rPr>
        <w:t xml:space="preserve">, у складу са предложеним концепту продуженог студирања,  </w:t>
      </w:r>
      <w:r>
        <w:rPr>
          <w:lang w:val="uz-Cyrl-UZ"/>
        </w:rPr>
        <w:t>одређује</w:t>
      </w:r>
      <w:r w:rsidR="00312B87">
        <w:rPr>
          <w:lang w:val="uz-Cyrl-UZ"/>
        </w:rPr>
        <w:t xml:space="preserve">  се</w:t>
      </w:r>
      <w:r w:rsidR="00B05778" w:rsidRPr="008137B8">
        <w:rPr>
          <w:lang w:val="uz-Cyrl-UZ"/>
        </w:rPr>
        <w:t>:</w:t>
      </w:r>
    </w:p>
    <w:p w14:paraId="5DE015F3" w14:textId="77777777" w:rsidR="00B05778" w:rsidRPr="008137B8" w:rsidRDefault="00B05778" w:rsidP="001A3B21">
      <w:pPr>
        <w:pStyle w:val="ListParagraph"/>
        <w:numPr>
          <w:ilvl w:val="0"/>
          <w:numId w:val="12"/>
        </w:numPr>
        <w:rPr>
          <w:lang w:val="uz-Cyrl-UZ"/>
        </w:rPr>
      </w:pPr>
      <w:r w:rsidRPr="008137B8">
        <w:rPr>
          <w:lang w:val="uz-Cyrl-UZ"/>
        </w:rPr>
        <w:t>Законом о високом образовању,</w:t>
      </w:r>
    </w:p>
    <w:p w14:paraId="1D04901D" w14:textId="136D9571" w:rsidR="00B05778" w:rsidRDefault="001A3B21" w:rsidP="001A3B21">
      <w:pPr>
        <w:pStyle w:val="ListParagraph"/>
        <w:numPr>
          <w:ilvl w:val="0"/>
          <w:numId w:val="12"/>
        </w:numPr>
        <w:rPr>
          <w:lang w:val="uz-Cyrl-UZ"/>
        </w:rPr>
      </w:pPr>
      <w:r>
        <w:rPr>
          <w:lang w:val="uz-Cyrl-UZ"/>
        </w:rPr>
        <w:t>Стандардима акредитације</w:t>
      </w:r>
    </w:p>
    <w:p w14:paraId="6E0ADC53" w14:textId="65014147" w:rsidR="001A3B21" w:rsidRPr="001A3B21" w:rsidRDefault="001A3B21" w:rsidP="001A3B21">
      <w:pPr>
        <w:rPr>
          <w:lang w:val="uz-Cyrl-UZ"/>
        </w:rPr>
      </w:pPr>
      <w:r>
        <w:rPr>
          <w:lang w:val="uz-Cyrl-UZ"/>
        </w:rPr>
        <w:t>У овом документу се не обухватају одредбе статута високошколских установа и друга општа акта високошколских установа (ВШУ)</w:t>
      </w:r>
    </w:p>
    <w:p w14:paraId="15D413E6" w14:textId="040C0D3D" w:rsidR="00ED43DE" w:rsidRDefault="00ED43DE" w:rsidP="001A3B21">
      <w:pPr>
        <w:pStyle w:val="Heading1"/>
        <w:rPr>
          <w:lang w:val="uz-Cyrl-UZ"/>
        </w:rPr>
      </w:pPr>
      <w:r>
        <w:rPr>
          <w:lang w:val="uz-Cyrl-UZ"/>
        </w:rPr>
        <w:t>Закон о високом образовању</w:t>
      </w:r>
    </w:p>
    <w:p w14:paraId="6F94EE49" w14:textId="36BED5ED" w:rsidR="00312B87" w:rsidRDefault="00B05778" w:rsidP="00B05778">
      <w:pPr>
        <w:rPr>
          <w:lang w:val="uz-Cyrl-UZ"/>
        </w:rPr>
      </w:pPr>
      <w:r w:rsidRPr="008137B8">
        <w:rPr>
          <w:lang w:val="uz-Cyrl-UZ"/>
        </w:rPr>
        <w:t xml:space="preserve">Закон треба да пружи основни правни основ </w:t>
      </w:r>
      <w:r w:rsidR="00312B87">
        <w:rPr>
          <w:lang w:val="uz-Cyrl-UZ"/>
        </w:rPr>
        <w:t>за продужено студирање</w:t>
      </w:r>
      <w:r w:rsidRPr="008137B8">
        <w:rPr>
          <w:lang w:val="uz-Cyrl-UZ"/>
        </w:rPr>
        <w:t>, остављајући детаље подзаконским актима, као што су стандарди акредитације</w:t>
      </w:r>
      <w:r w:rsidR="00312B87">
        <w:rPr>
          <w:lang w:val="uz-Cyrl-UZ"/>
        </w:rPr>
        <w:t xml:space="preserve"> и опште акте високошколских установа. Закон треба растеретити детаља које треба да се регулише општим актим ВШУ, али треба да буде и довољно конкретан како би обезбедио да све ВШУ спроводе на исти начин постављен концепт продуженог студирања у Србији. Имајући ово у виду, </w:t>
      </w:r>
    </w:p>
    <w:p w14:paraId="1EF4FD6D" w14:textId="77777777" w:rsidR="00312B87" w:rsidRDefault="00312B87" w:rsidP="00B05778">
      <w:pPr>
        <w:rPr>
          <w:lang w:val="uz-Cyrl-UZ"/>
        </w:rPr>
      </w:pPr>
    </w:p>
    <w:p w14:paraId="59EF2C68" w14:textId="29A5CC66" w:rsidR="00DF0CCF" w:rsidRDefault="00ED43DE" w:rsidP="00B05778">
      <w:pPr>
        <w:rPr>
          <w:lang w:val="sr"/>
        </w:rPr>
      </w:pPr>
      <w:r>
        <w:rPr>
          <w:lang w:val="sr"/>
        </w:rPr>
        <w:t xml:space="preserve">Овде се даје предлог измена садашњег Закона о високом образовању </w:t>
      </w:r>
      <w:r w:rsidR="00FB4203">
        <w:rPr>
          <w:lang w:val="sr"/>
        </w:rPr>
        <w:t xml:space="preserve"> које омогужавају примену концепта студирања уз рад који је изложен у овом документу. Црвеним словима је означен нови, убачен текст у цитираним члановима постојећег закона.</w:t>
      </w:r>
    </w:p>
    <w:p w14:paraId="263A679E" w14:textId="77777777" w:rsidR="00FB4203" w:rsidRDefault="00FB4203" w:rsidP="00B05778">
      <w:pPr>
        <w:rPr>
          <w:lang w:val="sr"/>
        </w:rPr>
      </w:pPr>
    </w:p>
    <w:p w14:paraId="1085539B" w14:textId="77777777" w:rsidR="00FA6CD5" w:rsidRPr="00FA6CD5" w:rsidRDefault="00FA6CD5" w:rsidP="00FA6CD5">
      <w:pPr>
        <w:jc w:val="center"/>
        <w:rPr>
          <w:lang w:val="sr"/>
        </w:rPr>
      </w:pPr>
      <w:r w:rsidRPr="00FA6CD5">
        <w:rPr>
          <w:lang w:val="sr"/>
        </w:rPr>
        <w:t>Извори финансирања</w:t>
      </w:r>
    </w:p>
    <w:p w14:paraId="65E5124F" w14:textId="77777777" w:rsidR="00FA6CD5" w:rsidRPr="00FA6CD5" w:rsidRDefault="00FA6CD5" w:rsidP="00FA6CD5">
      <w:pPr>
        <w:jc w:val="center"/>
        <w:rPr>
          <w:lang w:val="sr"/>
        </w:rPr>
      </w:pPr>
      <w:r w:rsidRPr="00FA6CD5">
        <w:rPr>
          <w:lang w:val="sr"/>
        </w:rPr>
        <w:t>Члан 57.</w:t>
      </w:r>
    </w:p>
    <w:p w14:paraId="3CE07428" w14:textId="769B629E" w:rsidR="00FA6CD5" w:rsidRDefault="00FA6CD5" w:rsidP="00B05778">
      <w:pPr>
        <w:rPr>
          <w:lang w:val="sr"/>
        </w:rPr>
      </w:pPr>
      <w:r>
        <w:rPr>
          <w:lang w:val="sr"/>
        </w:rPr>
        <w:t>Додати на крају члана следећи став:</w:t>
      </w:r>
    </w:p>
    <w:p w14:paraId="1FFC58F6" w14:textId="2E6CD9CE" w:rsidR="00FA6CD5" w:rsidRPr="00FA6CD5" w:rsidRDefault="00FA6CD5" w:rsidP="00B05778">
      <w:pPr>
        <w:rPr>
          <w:color w:val="FF0000"/>
          <w:lang w:val="sr"/>
        </w:rPr>
      </w:pPr>
      <w:r w:rsidRPr="00FA6CD5">
        <w:rPr>
          <w:color w:val="FF0000"/>
          <w:lang w:val="sr"/>
        </w:rPr>
        <w:t>”Продужене студије се финансирају искључиво из средстава школарине”</w:t>
      </w:r>
    </w:p>
    <w:p w14:paraId="09D5024B" w14:textId="77777777" w:rsidR="00FA6CD5" w:rsidRDefault="00FA6CD5" w:rsidP="00B05778">
      <w:pPr>
        <w:rPr>
          <w:lang w:val="sr"/>
        </w:rPr>
      </w:pPr>
    </w:p>
    <w:p w14:paraId="00EDDABC" w14:textId="77777777" w:rsidR="00487D58" w:rsidRPr="00487D58" w:rsidRDefault="00487D58" w:rsidP="00487D58">
      <w:pPr>
        <w:jc w:val="center"/>
        <w:rPr>
          <w:lang w:val="sr"/>
        </w:rPr>
      </w:pPr>
      <w:r w:rsidRPr="00487D58">
        <w:rPr>
          <w:lang w:val="sr"/>
        </w:rPr>
        <w:t>Организација студија</w:t>
      </w:r>
    </w:p>
    <w:p w14:paraId="589F4124" w14:textId="3FED1778" w:rsidR="00FB4203" w:rsidRDefault="00487D58" w:rsidP="00487D58">
      <w:pPr>
        <w:jc w:val="center"/>
        <w:rPr>
          <w:lang w:val="sr"/>
        </w:rPr>
      </w:pPr>
      <w:r w:rsidRPr="00487D58">
        <w:rPr>
          <w:lang w:val="sr"/>
        </w:rPr>
        <w:t>Члан 81.</w:t>
      </w:r>
    </w:p>
    <w:p w14:paraId="05AA20C7" w14:textId="6932FBB7" w:rsidR="00487D58" w:rsidRDefault="00BE0D79" w:rsidP="00487D58">
      <w:pPr>
        <w:rPr>
          <w:lang w:val="sr"/>
        </w:rPr>
      </w:pPr>
      <w:r>
        <w:rPr>
          <w:lang w:val="sr"/>
        </w:rPr>
        <w:t>(после става 1. додају се следећа два</w:t>
      </w:r>
      <w:r w:rsidR="00487D58">
        <w:rPr>
          <w:lang w:val="sr"/>
        </w:rPr>
        <w:t xml:space="preserve"> став</w:t>
      </w:r>
      <w:r>
        <w:rPr>
          <w:lang w:val="sr"/>
        </w:rPr>
        <w:t>а</w:t>
      </w:r>
      <w:r w:rsidR="00487D58">
        <w:rPr>
          <w:lang w:val="sr"/>
        </w:rPr>
        <w:t>)</w:t>
      </w:r>
    </w:p>
    <w:p w14:paraId="6AB82A7D" w14:textId="52F9F56C" w:rsidR="00487D58" w:rsidRDefault="00487D58" w:rsidP="00487D58">
      <w:pPr>
        <w:rPr>
          <w:color w:val="FF0000"/>
          <w:lang w:val="sr"/>
        </w:rPr>
      </w:pPr>
      <w:r>
        <w:rPr>
          <w:color w:val="FF0000"/>
          <w:lang w:val="sr"/>
        </w:rPr>
        <w:t xml:space="preserve">”Са становишта </w:t>
      </w:r>
      <w:r w:rsidR="002170F1">
        <w:rPr>
          <w:color w:val="FF0000"/>
          <w:lang w:val="sr"/>
        </w:rPr>
        <w:t>режима (</w:t>
      </w:r>
      <w:r>
        <w:rPr>
          <w:color w:val="FF0000"/>
          <w:lang w:val="sr"/>
        </w:rPr>
        <w:t>брзине</w:t>
      </w:r>
      <w:r w:rsidR="002170F1">
        <w:rPr>
          <w:color w:val="FF0000"/>
          <w:lang w:val="sr"/>
        </w:rPr>
        <w:t>)</w:t>
      </w:r>
      <w:r>
        <w:rPr>
          <w:color w:val="FF0000"/>
          <w:lang w:val="sr"/>
        </w:rPr>
        <w:t xml:space="preserve"> студирања и трајања студија,  студије могу да омогуће:</w:t>
      </w:r>
    </w:p>
    <w:p w14:paraId="339B7381" w14:textId="7E8C1024" w:rsidR="00487D58" w:rsidRPr="00487D58" w:rsidRDefault="00487D58" w:rsidP="00487D58">
      <w:pPr>
        <w:pStyle w:val="ListParagraph"/>
        <w:numPr>
          <w:ilvl w:val="0"/>
          <w:numId w:val="8"/>
        </w:numPr>
        <w:rPr>
          <w:color w:val="FF0000"/>
          <w:lang w:val="uz-Cyrl-UZ"/>
        </w:rPr>
      </w:pPr>
      <w:r w:rsidRPr="00487D58">
        <w:rPr>
          <w:b/>
          <w:color w:val="FF0000"/>
          <w:lang w:val="uz-Cyrl-UZ"/>
        </w:rPr>
        <w:t>Редовно студирање:</w:t>
      </w:r>
      <w:r w:rsidRPr="00487D58">
        <w:rPr>
          <w:color w:val="FF0000"/>
          <w:lang w:val="uz-Cyrl-UZ"/>
        </w:rPr>
        <w:t xml:space="preserve"> Студент није запослен, студира 40 сати недељно (од тога најмање 50% у виду активне наставе) и остварује 60 ЕСПБ годишње.</w:t>
      </w:r>
    </w:p>
    <w:p w14:paraId="608A1B95" w14:textId="121B3B6A" w:rsidR="00487D58" w:rsidRPr="00487D58" w:rsidRDefault="002170F1" w:rsidP="00487D58">
      <w:pPr>
        <w:pStyle w:val="ListParagraph"/>
        <w:numPr>
          <w:ilvl w:val="0"/>
          <w:numId w:val="8"/>
        </w:numPr>
        <w:rPr>
          <w:color w:val="FF0000"/>
          <w:lang w:val="uz-Cyrl-UZ"/>
        </w:rPr>
      </w:pPr>
      <w:r>
        <w:rPr>
          <w:b/>
          <w:color w:val="FF0000"/>
          <w:lang w:val="uz-Cyrl-UZ"/>
        </w:rPr>
        <w:t>Продужено студирање</w:t>
      </w:r>
      <w:r w:rsidR="00CF3D74">
        <w:rPr>
          <w:b/>
          <w:color w:val="FF0000"/>
          <w:lang w:val="uz-Cyrl-UZ"/>
        </w:rPr>
        <w:t>:</w:t>
      </w:r>
      <w:r w:rsidR="00487D58" w:rsidRPr="00487D58">
        <w:rPr>
          <w:b/>
          <w:color w:val="FF0000"/>
          <w:lang w:val="uz-Cyrl-UZ"/>
        </w:rPr>
        <w:t xml:space="preserve"> </w:t>
      </w:r>
      <w:r w:rsidR="00487D58" w:rsidRPr="00487D58">
        <w:rPr>
          <w:color w:val="FF0000"/>
          <w:lang w:val="uz-Cyrl-UZ"/>
        </w:rPr>
        <w:t>Студент је запослен или због других, личних разлога, не може да оствари захтеве редовног студирања.</w:t>
      </w:r>
    </w:p>
    <w:p w14:paraId="67A40FA3" w14:textId="24BAF9F9" w:rsidR="00487D58" w:rsidRPr="00487D58" w:rsidRDefault="00487D58" w:rsidP="00487D58">
      <w:pPr>
        <w:pStyle w:val="ListParagraph"/>
        <w:numPr>
          <w:ilvl w:val="0"/>
          <w:numId w:val="8"/>
        </w:numPr>
        <w:rPr>
          <w:color w:val="FF0000"/>
          <w:lang w:val="uz-Cyrl-UZ"/>
        </w:rPr>
      </w:pPr>
      <w:r w:rsidRPr="00487D58">
        <w:rPr>
          <w:b/>
          <w:color w:val="FF0000"/>
          <w:lang w:val="uz-Cyrl-UZ"/>
        </w:rPr>
        <w:t xml:space="preserve">Убрзано студирање: </w:t>
      </w:r>
      <w:r w:rsidR="002170F1" w:rsidRPr="002170F1">
        <w:rPr>
          <w:color w:val="FF0000"/>
          <w:lang w:val="uz-Cyrl-UZ"/>
        </w:rPr>
        <w:t xml:space="preserve">Студент који жели и може да заврши студије у краћем временском периоду него што се очекује од  редовног студирање, </w:t>
      </w:r>
      <w:r w:rsidR="002170F1" w:rsidRPr="002170F1">
        <w:rPr>
          <w:color w:val="FF0000"/>
          <w:lang w:val="sr"/>
        </w:rPr>
        <w:t>и</w:t>
      </w:r>
      <w:r w:rsidR="002170F1" w:rsidRPr="002170F1">
        <w:rPr>
          <w:color w:val="FF0000"/>
          <w:lang w:val="uz-Cyrl-UZ"/>
        </w:rPr>
        <w:t xml:space="preserve"> може да оствари до 90 ЕСПБ годишње, под условом да претходно стекне </w:t>
      </w:r>
      <w:r w:rsidR="002170F1" w:rsidRPr="002170F1">
        <w:rPr>
          <w:color w:val="FF0000"/>
          <w:lang w:val="sr"/>
        </w:rPr>
        <w:t xml:space="preserve"> планираних и обавезујућих 60 ЕСПБ</w:t>
      </w:r>
      <w:r w:rsidR="002170F1">
        <w:rPr>
          <w:lang w:val="sr"/>
        </w:rPr>
        <w:t>.</w:t>
      </w:r>
    </w:p>
    <w:p w14:paraId="5437466A" w14:textId="30BF694C" w:rsidR="00C03AF3" w:rsidRPr="00BE0D79" w:rsidRDefault="00C03AF3" w:rsidP="00BE0D79">
      <w:pPr>
        <w:rPr>
          <w:color w:val="FF0000"/>
          <w:lang w:val="sr"/>
        </w:rPr>
      </w:pPr>
      <w:r w:rsidRPr="00C03AF3">
        <w:rPr>
          <w:color w:val="FF0000"/>
          <w:lang w:val="sr"/>
        </w:rPr>
        <w:t xml:space="preserve">Са становишта начина студирања,  један студијски програм може да омогући, један, два или сва три следећа начина студирања: </w:t>
      </w:r>
    </w:p>
    <w:p w14:paraId="05BFF176" w14:textId="4DB58797" w:rsidR="00C03AF3" w:rsidRPr="00C03AF3" w:rsidRDefault="00C03AF3" w:rsidP="00BE0D79">
      <w:pPr>
        <w:pStyle w:val="ListParagraph"/>
        <w:numPr>
          <w:ilvl w:val="0"/>
          <w:numId w:val="9"/>
        </w:numPr>
        <w:rPr>
          <w:b/>
          <w:color w:val="FF0000"/>
          <w:lang w:val="uz-Cyrl-UZ"/>
        </w:rPr>
      </w:pPr>
      <w:r w:rsidRPr="00C03AF3">
        <w:rPr>
          <w:b/>
          <w:color w:val="FF0000"/>
          <w:lang w:val="uz-Cyrl-UZ"/>
        </w:rPr>
        <w:t xml:space="preserve">Класично студирање: </w:t>
      </w:r>
      <w:r w:rsidRPr="00C03AF3">
        <w:rPr>
          <w:color w:val="FF0000"/>
          <w:lang w:val="uz-Cyrl-UZ"/>
        </w:rPr>
        <w:t>Студент остварује планиран програм наставе у  целости у просторијама ВШУ</w:t>
      </w:r>
      <w:r w:rsidR="002170F1">
        <w:rPr>
          <w:color w:val="FF0000"/>
          <w:lang w:val="uz-Cyrl-UZ"/>
        </w:rPr>
        <w:t xml:space="preserve">, </w:t>
      </w:r>
      <w:r w:rsidR="002170F1" w:rsidRPr="002170F1">
        <w:t xml:space="preserve"> </w:t>
      </w:r>
      <w:r w:rsidR="002170F1" w:rsidRPr="002170F1">
        <w:rPr>
          <w:color w:val="FF0000"/>
          <w:lang w:val="uz-Cyrl-UZ"/>
        </w:rPr>
        <w:t>с тим што обим активне наставе мора да буде исти као и код класичне наставе при редовном студирању.</w:t>
      </w:r>
    </w:p>
    <w:p w14:paraId="67952F24" w14:textId="470F3A7E" w:rsidR="00C03AF3" w:rsidRPr="00C03AF3" w:rsidRDefault="00C03AF3" w:rsidP="00BE0D79">
      <w:pPr>
        <w:pStyle w:val="ListParagraph"/>
        <w:numPr>
          <w:ilvl w:val="0"/>
          <w:numId w:val="9"/>
        </w:numPr>
        <w:rPr>
          <w:b/>
          <w:color w:val="FF0000"/>
          <w:lang w:val="uz-Cyrl-UZ"/>
        </w:rPr>
      </w:pPr>
      <w:r w:rsidRPr="00C03AF3">
        <w:rPr>
          <w:b/>
          <w:color w:val="FF0000"/>
          <w:lang w:val="uz-Cyrl-UZ"/>
        </w:rPr>
        <w:t xml:space="preserve">Онлајн студирање </w:t>
      </w:r>
      <w:r w:rsidR="002170F1" w:rsidRPr="002170F1">
        <w:rPr>
          <w:color w:val="FF0000"/>
          <w:lang w:val="uz-Cyrl-UZ"/>
        </w:rPr>
        <w:t xml:space="preserve">Студент користи систем за електронско учење ВШУ, те има приступ наставним материјалима и могућност  интерактивне комуникације са </w:t>
      </w:r>
      <w:r w:rsidR="002170F1">
        <w:rPr>
          <w:color w:val="FF0000"/>
          <w:lang w:val="uz-Cyrl-UZ"/>
        </w:rPr>
        <w:t xml:space="preserve">наставником и </w:t>
      </w:r>
      <w:r w:rsidR="002170F1" w:rsidRPr="002170F1">
        <w:rPr>
          <w:color w:val="FF0000"/>
          <w:lang w:val="uz-Cyrl-UZ"/>
        </w:rPr>
        <w:t>тутором одређеним за сваки предмет, као и са другим студентима.</w:t>
      </w:r>
    </w:p>
    <w:p w14:paraId="613E61BA" w14:textId="1787B1DF" w:rsidR="00C03AF3" w:rsidRPr="00C03AF3" w:rsidRDefault="00C03AF3" w:rsidP="00BE0D79">
      <w:pPr>
        <w:pStyle w:val="ListParagraph"/>
        <w:numPr>
          <w:ilvl w:val="0"/>
          <w:numId w:val="9"/>
        </w:numPr>
        <w:rPr>
          <w:color w:val="FF0000"/>
          <w:lang w:val="sr"/>
        </w:rPr>
      </w:pPr>
      <w:r w:rsidRPr="00C03AF3">
        <w:rPr>
          <w:b/>
          <w:color w:val="FF0000"/>
          <w:lang w:val="uz-Cyrl-UZ"/>
        </w:rPr>
        <w:t xml:space="preserve">Хибридно студирање: </w:t>
      </w:r>
      <w:r w:rsidRPr="00C03AF3">
        <w:rPr>
          <w:color w:val="FF0000"/>
          <w:lang w:val="uz-Cyrl-UZ"/>
        </w:rPr>
        <w:t xml:space="preserve">Део наставе је у виду онлајн студирања, а други део наставе је у облику класичног студирања у просторијама ВШУ. </w:t>
      </w:r>
      <w:r>
        <w:rPr>
          <w:color w:val="FF0000"/>
          <w:lang w:val="uz-Cyrl-UZ"/>
        </w:rPr>
        <w:t>”</w:t>
      </w:r>
    </w:p>
    <w:p w14:paraId="22D30975" w14:textId="3A375B2E" w:rsidR="00BE0D79" w:rsidRDefault="00BE0D79" w:rsidP="00BE0D79">
      <w:pPr>
        <w:rPr>
          <w:lang w:val="sr"/>
        </w:rPr>
      </w:pPr>
    </w:p>
    <w:p w14:paraId="5059C1A4" w14:textId="77777777" w:rsidR="000D5704" w:rsidRPr="00BE0D79" w:rsidRDefault="000D5704" w:rsidP="00BE0D79">
      <w:pPr>
        <w:rPr>
          <w:lang w:val="sr"/>
        </w:rPr>
      </w:pPr>
    </w:p>
    <w:p w14:paraId="2D43F12A" w14:textId="49248DA3" w:rsidR="00BE0D79" w:rsidRDefault="00BE0D79" w:rsidP="00BE0D79">
      <w:pPr>
        <w:jc w:val="center"/>
        <w:rPr>
          <w:lang w:val="sr"/>
        </w:rPr>
      </w:pPr>
      <w:r w:rsidRPr="00BE0D79">
        <w:rPr>
          <w:lang w:val="sr"/>
        </w:rPr>
        <w:t>XI. СТУДЕНТИ</w:t>
      </w:r>
    </w:p>
    <w:p w14:paraId="151E9823" w14:textId="2287A729" w:rsidR="00BE0D79" w:rsidRPr="00BE0D79" w:rsidRDefault="00BE0D79" w:rsidP="00BE0D79">
      <w:pPr>
        <w:jc w:val="center"/>
        <w:rPr>
          <w:lang w:val="sr"/>
        </w:rPr>
      </w:pPr>
      <w:r w:rsidRPr="00BE0D79">
        <w:rPr>
          <w:lang w:val="sr"/>
        </w:rPr>
        <w:t>Упис</w:t>
      </w:r>
    </w:p>
    <w:p w14:paraId="4E676865" w14:textId="51BF26E5" w:rsidR="00FB4203" w:rsidRPr="00B05778" w:rsidRDefault="00BE0D79" w:rsidP="00BE0D79">
      <w:pPr>
        <w:jc w:val="center"/>
        <w:rPr>
          <w:lang w:val="sr"/>
        </w:rPr>
      </w:pPr>
      <w:r w:rsidRPr="00BE0D79">
        <w:rPr>
          <w:lang w:val="sr"/>
        </w:rPr>
        <w:t>Члан 82.</w:t>
      </w:r>
    </w:p>
    <w:p w14:paraId="478773A3" w14:textId="64EF0493" w:rsidR="00EA21B3" w:rsidRDefault="007D2E72" w:rsidP="00EA21B3">
      <w:pPr>
        <w:rPr>
          <w:lang w:val="sr"/>
        </w:rPr>
      </w:pPr>
      <w:r>
        <w:rPr>
          <w:lang w:val="sr"/>
        </w:rPr>
        <w:t>И</w:t>
      </w:r>
      <w:r w:rsidR="00BE0D79">
        <w:rPr>
          <w:lang w:val="sr"/>
        </w:rPr>
        <w:t>спред пос</w:t>
      </w:r>
      <w:r w:rsidR="000D5704">
        <w:rPr>
          <w:lang w:val="sr"/>
        </w:rPr>
        <w:t>ледњег става, убацује се следећи</w:t>
      </w:r>
      <w:r w:rsidR="00BE0D79">
        <w:rPr>
          <w:lang w:val="sr"/>
        </w:rPr>
        <w:t xml:space="preserve"> </w:t>
      </w:r>
      <w:r w:rsidR="000D5704">
        <w:rPr>
          <w:lang w:val="sr"/>
        </w:rPr>
        <w:t>ставови</w:t>
      </w:r>
      <w:r>
        <w:rPr>
          <w:lang w:val="sr"/>
        </w:rPr>
        <w:t>:</w:t>
      </w:r>
    </w:p>
    <w:p w14:paraId="112FEE66" w14:textId="11E13972" w:rsidR="00BE0D79" w:rsidRDefault="00BE0D79" w:rsidP="00EA21B3">
      <w:pPr>
        <w:rPr>
          <w:color w:val="FF0000"/>
          <w:lang w:val="sr"/>
        </w:rPr>
      </w:pPr>
      <w:r w:rsidRPr="00BE0D79">
        <w:rPr>
          <w:color w:val="FF0000"/>
          <w:lang w:val="sr"/>
        </w:rPr>
        <w:t>”</w:t>
      </w:r>
      <w:r>
        <w:rPr>
          <w:color w:val="FF0000"/>
          <w:lang w:val="sr"/>
        </w:rPr>
        <w:t xml:space="preserve">Зависно од </w:t>
      </w:r>
      <w:r w:rsidR="000D5704">
        <w:rPr>
          <w:color w:val="FF0000"/>
          <w:lang w:val="sr"/>
        </w:rPr>
        <w:t xml:space="preserve">режима </w:t>
      </w:r>
      <w:r>
        <w:rPr>
          <w:color w:val="FF0000"/>
          <w:lang w:val="sr"/>
        </w:rPr>
        <w:t xml:space="preserve"> студирања, статус студента може бити:</w:t>
      </w:r>
    </w:p>
    <w:p w14:paraId="177209D0" w14:textId="6D3188E2" w:rsidR="00BE0D79" w:rsidRDefault="00BE0D79" w:rsidP="00BE0D79">
      <w:pPr>
        <w:pStyle w:val="ListParagraph"/>
        <w:numPr>
          <w:ilvl w:val="0"/>
          <w:numId w:val="10"/>
        </w:numPr>
        <w:rPr>
          <w:color w:val="FF0000"/>
          <w:lang w:val="sr"/>
        </w:rPr>
      </w:pPr>
      <w:r>
        <w:rPr>
          <w:color w:val="FF0000"/>
          <w:lang w:val="sr"/>
        </w:rPr>
        <w:t>студент редовних студија</w:t>
      </w:r>
    </w:p>
    <w:p w14:paraId="536BE4B3" w14:textId="39E04DE4" w:rsidR="00BE0D79" w:rsidRDefault="00BE0D79" w:rsidP="00BE0D79">
      <w:pPr>
        <w:pStyle w:val="ListParagraph"/>
        <w:numPr>
          <w:ilvl w:val="0"/>
          <w:numId w:val="10"/>
        </w:numPr>
        <w:rPr>
          <w:color w:val="FF0000"/>
          <w:lang w:val="sr"/>
        </w:rPr>
      </w:pPr>
      <w:r>
        <w:rPr>
          <w:color w:val="FF0000"/>
          <w:lang w:val="sr"/>
        </w:rPr>
        <w:t xml:space="preserve">студент </w:t>
      </w:r>
      <w:r w:rsidR="000D5704">
        <w:rPr>
          <w:color w:val="FF0000"/>
          <w:lang w:val="sr"/>
        </w:rPr>
        <w:t xml:space="preserve">продужених студија </w:t>
      </w:r>
      <w:r>
        <w:rPr>
          <w:color w:val="FF0000"/>
          <w:lang w:val="sr"/>
        </w:rPr>
        <w:t>и</w:t>
      </w:r>
    </w:p>
    <w:p w14:paraId="205D287C" w14:textId="24B49581" w:rsidR="00BE0D79" w:rsidRPr="00BE0D79" w:rsidRDefault="00BE0D79" w:rsidP="00BE0D79">
      <w:pPr>
        <w:pStyle w:val="ListParagraph"/>
        <w:numPr>
          <w:ilvl w:val="0"/>
          <w:numId w:val="10"/>
        </w:numPr>
        <w:rPr>
          <w:color w:val="FF0000"/>
          <w:lang w:val="sr"/>
        </w:rPr>
      </w:pPr>
      <w:r>
        <w:rPr>
          <w:color w:val="FF0000"/>
          <w:lang w:val="sr"/>
        </w:rPr>
        <w:t>студент убрзаних студија</w:t>
      </w:r>
    </w:p>
    <w:p w14:paraId="1A5A7378" w14:textId="4220887A" w:rsidR="00BE0D79" w:rsidRDefault="00C553E6" w:rsidP="00EA21B3">
      <w:pPr>
        <w:rPr>
          <w:color w:val="FF0000"/>
        </w:rPr>
      </w:pPr>
      <w:r>
        <w:rPr>
          <w:color w:val="FF0000"/>
        </w:rPr>
        <w:t>а у з</w:t>
      </w:r>
      <w:r w:rsidR="00BE0D79">
        <w:rPr>
          <w:color w:val="FF0000"/>
        </w:rPr>
        <w:t xml:space="preserve">ависности од </w:t>
      </w:r>
      <w:r>
        <w:rPr>
          <w:color w:val="FF0000"/>
        </w:rPr>
        <w:t>начина студирања, стаутс студената може бити:</w:t>
      </w:r>
    </w:p>
    <w:p w14:paraId="51E7BBE8" w14:textId="2DA5E0FB" w:rsidR="00C553E6" w:rsidRDefault="00C553E6" w:rsidP="00C553E6">
      <w:pPr>
        <w:pStyle w:val="ListParagraph"/>
        <w:numPr>
          <w:ilvl w:val="0"/>
          <w:numId w:val="11"/>
        </w:numPr>
        <w:rPr>
          <w:color w:val="FF0000"/>
        </w:rPr>
      </w:pPr>
      <w:r w:rsidRPr="00C553E6">
        <w:rPr>
          <w:color w:val="FF0000"/>
        </w:rPr>
        <w:t>студент класичне наставе</w:t>
      </w:r>
    </w:p>
    <w:p w14:paraId="4FB4C304" w14:textId="759A5DC6" w:rsidR="00C553E6" w:rsidRDefault="00C553E6" w:rsidP="00C553E6">
      <w:pPr>
        <w:pStyle w:val="ListParagraph"/>
        <w:numPr>
          <w:ilvl w:val="0"/>
          <w:numId w:val="11"/>
        </w:numPr>
        <w:rPr>
          <w:color w:val="FF0000"/>
        </w:rPr>
      </w:pPr>
      <w:r>
        <w:rPr>
          <w:color w:val="FF0000"/>
        </w:rPr>
        <w:t>студент онлајн наставе</w:t>
      </w:r>
    </w:p>
    <w:p w14:paraId="64AA5561" w14:textId="7631CD10" w:rsidR="00C553E6" w:rsidRDefault="00C553E6" w:rsidP="00C553E6">
      <w:pPr>
        <w:pStyle w:val="ListParagraph"/>
        <w:numPr>
          <w:ilvl w:val="0"/>
          <w:numId w:val="11"/>
        </w:numPr>
        <w:rPr>
          <w:color w:val="FF0000"/>
        </w:rPr>
      </w:pPr>
      <w:r>
        <w:rPr>
          <w:color w:val="FF0000"/>
        </w:rPr>
        <w:t>студент хибридне наставе</w:t>
      </w:r>
      <w:r w:rsidR="000D5704">
        <w:rPr>
          <w:color w:val="FF0000"/>
        </w:rPr>
        <w:t>.</w:t>
      </w:r>
    </w:p>
    <w:p w14:paraId="00938A07" w14:textId="6F94E502" w:rsidR="006D49CC" w:rsidRDefault="00C553E6" w:rsidP="00C553E6">
      <w:pPr>
        <w:rPr>
          <w:color w:val="FF0000"/>
        </w:rPr>
      </w:pPr>
      <w:r>
        <w:rPr>
          <w:color w:val="FF0000"/>
        </w:rPr>
        <w:t>У току студија, студент може да мења свој статус, те се статус студената не уписује у диплому и у додатак дипломе, већ се користи само у сврхе организације студија и акдредитације (одређи</w:t>
      </w:r>
      <w:r w:rsidR="000D5704">
        <w:rPr>
          <w:color w:val="FF0000"/>
        </w:rPr>
        <w:t>вање дозвољеног броја студената</w:t>
      </w:r>
      <w:r>
        <w:rPr>
          <w:color w:val="FF0000"/>
        </w:rPr>
        <w:t>)</w:t>
      </w:r>
      <w:r w:rsidR="000D5704">
        <w:rPr>
          <w:color w:val="FF0000"/>
        </w:rPr>
        <w:t>.</w:t>
      </w:r>
    </w:p>
    <w:p w14:paraId="3E0C7894" w14:textId="53A3C555" w:rsidR="00C553E6" w:rsidRDefault="006D49CC" w:rsidP="00C553E6">
      <w:pPr>
        <w:rPr>
          <w:color w:val="FF0000"/>
        </w:rPr>
      </w:pPr>
      <w:r>
        <w:rPr>
          <w:color w:val="FF0000"/>
        </w:rPr>
        <w:t xml:space="preserve">На редовне студије се може уписати само </w:t>
      </w:r>
      <w:r w:rsidR="00CF3D74">
        <w:rPr>
          <w:color w:val="FF0000"/>
        </w:rPr>
        <w:t>лице</w:t>
      </w:r>
      <w:r>
        <w:rPr>
          <w:color w:val="FF0000"/>
        </w:rPr>
        <w:t xml:space="preserve"> који није запослен</w:t>
      </w:r>
      <w:r w:rsidR="00CF3D74">
        <w:rPr>
          <w:color w:val="FF0000"/>
        </w:rPr>
        <w:t>о</w:t>
      </w:r>
      <w:r>
        <w:rPr>
          <w:color w:val="FF0000"/>
        </w:rPr>
        <w:t xml:space="preserve"> и који може да студијама посвети најмање 40 сати студирања недељно.</w:t>
      </w:r>
    </w:p>
    <w:p w14:paraId="09E4D26B" w14:textId="76CA1BE7" w:rsidR="00CF3D74" w:rsidRPr="00CF3D74" w:rsidRDefault="006D49CC" w:rsidP="00C553E6">
      <w:pPr>
        <w:rPr>
          <w:color w:val="FF0000"/>
          <w:lang w:val="sr"/>
        </w:rPr>
      </w:pPr>
      <w:r>
        <w:rPr>
          <w:color w:val="FF0000"/>
        </w:rPr>
        <w:t xml:space="preserve">На  </w:t>
      </w:r>
      <w:r w:rsidR="000D5704">
        <w:rPr>
          <w:color w:val="FF0000"/>
        </w:rPr>
        <w:t xml:space="preserve">продужене студије </w:t>
      </w:r>
      <w:r>
        <w:rPr>
          <w:color w:val="FF0000"/>
        </w:rPr>
        <w:t xml:space="preserve">може се уписати </w:t>
      </w:r>
      <w:r w:rsidR="00CF3D74">
        <w:rPr>
          <w:color w:val="FF0000"/>
        </w:rPr>
        <w:t>лице</w:t>
      </w:r>
      <w:r>
        <w:rPr>
          <w:color w:val="FF0000"/>
        </w:rPr>
        <w:t xml:space="preserve"> </w:t>
      </w:r>
      <w:r w:rsidR="000D5704">
        <w:rPr>
          <w:color w:val="FF0000"/>
        </w:rPr>
        <w:t xml:space="preserve">које не може да испуни услов за редовно студирање из претходног става. </w:t>
      </w:r>
    </w:p>
    <w:p w14:paraId="27EC6A0F" w14:textId="2A46B8F1" w:rsidR="006D49CC" w:rsidRDefault="000D5704" w:rsidP="00C553E6">
      <w:pPr>
        <w:rPr>
          <w:color w:val="FF0000"/>
        </w:rPr>
      </w:pPr>
      <w:r>
        <w:rPr>
          <w:color w:val="FF0000"/>
        </w:rPr>
        <w:t>Својим општим актом високошколска установа одређује услова добијања и мењања статуса студената у односу на режим и начин студирања</w:t>
      </w:r>
      <w:r w:rsidR="00CF3D74">
        <w:rPr>
          <w:color w:val="FF0000"/>
        </w:rPr>
        <w:t xml:space="preserve"> ”</w:t>
      </w:r>
    </w:p>
    <w:p w14:paraId="59273644" w14:textId="77777777" w:rsidR="000D5704" w:rsidRDefault="000D5704" w:rsidP="00C553E6">
      <w:pPr>
        <w:jc w:val="center"/>
        <w:rPr>
          <w:lang w:val="sr"/>
        </w:rPr>
      </w:pPr>
    </w:p>
    <w:p w14:paraId="670FF401" w14:textId="77777777" w:rsidR="00C553E6" w:rsidRPr="00C553E6" w:rsidRDefault="00C553E6" w:rsidP="00C553E6">
      <w:pPr>
        <w:jc w:val="center"/>
        <w:rPr>
          <w:lang w:val="sr"/>
        </w:rPr>
      </w:pPr>
      <w:r w:rsidRPr="00C553E6">
        <w:rPr>
          <w:lang w:val="sr"/>
        </w:rPr>
        <w:t>Конкурс</w:t>
      </w:r>
    </w:p>
    <w:p w14:paraId="6A10C6AB" w14:textId="77777777" w:rsidR="00C553E6" w:rsidRPr="00C553E6" w:rsidRDefault="00C553E6" w:rsidP="00C553E6">
      <w:pPr>
        <w:jc w:val="center"/>
        <w:rPr>
          <w:lang w:val="sr"/>
        </w:rPr>
      </w:pPr>
      <w:r w:rsidRPr="00C553E6">
        <w:rPr>
          <w:lang w:val="sr"/>
        </w:rPr>
        <w:t>Члан 83.</w:t>
      </w:r>
    </w:p>
    <w:p w14:paraId="13722369" w14:textId="3D1DF13B" w:rsidR="00C553E6" w:rsidRDefault="007D2E72" w:rsidP="00C553E6">
      <w:pPr>
        <w:rPr>
          <w:lang w:val="sr"/>
        </w:rPr>
      </w:pPr>
      <w:r>
        <w:rPr>
          <w:lang w:val="sr"/>
        </w:rPr>
        <w:t>После става 2 члана додаје се следећи став:</w:t>
      </w:r>
    </w:p>
    <w:p w14:paraId="560ED421" w14:textId="2BD1BBD0" w:rsidR="007D2E72" w:rsidRPr="007D2E72" w:rsidRDefault="007D2E72" w:rsidP="00C553E6">
      <w:pPr>
        <w:rPr>
          <w:color w:val="FF0000"/>
          <w:lang w:val="sr"/>
        </w:rPr>
      </w:pPr>
      <w:r w:rsidRPr="007D2E72">
        <w:rPr>
          <w:color w:val="FF0000"/>
          <w:lang w:val="sr"/>
        </w:rPr>
        <w:t xml:space="preserve">”Број студената из претходног става се исказује у односу на </w:t>
      </w:r>
      <w:r w:rsidR="000D5704">
        <w:rPr>
          <w:color w:val="FF0000"/>
          <w:lang w:val="sr"/>
        </w:rPr>
        <w:t>режим и начин студирања, сем што се не дефинише број студената убрзаног студирања”.</w:t>
      </w:r>
    </w:p>
    <w:p w14:paraId="281ED5FC" w14:textId="77777777" w:rsidR="000D5704" w:rsidRDefault="000D5704" w:rsidP="007D2E72">
      <w:pPr>
        <w:jc w:val="center"/>
        <w:rPr>
          <w:lang w:val="sr"/>
        </w:rPr>
      </w:pPr>
    </w:p>
    <w:p w14:paraId="6963ED52" w14:textId="77777777" w:rsidR="007D2E72" w:rsidRPr="007D2E72" w:rsidRDefault="007D2E72" w:rsidP="007D2E72">
      <w:pPr>
        <w:jc w:val="center"/>
        <w:rPr>
          <w:lang w:val="sr"/>
        </w:rPr>
      </w:pPr>
      <w:r w:rsidRPr="007D2E72">
        <w:rPr>
          <w:lang w:val="sr"/>
        </w:rPr>
        <w:t>Број студената</w:t>
      </w:r>
    </w:p>
    <w:p w14:paraId="399448FE" w14:textId="77777777" w:rsidR="007D2E72" w:rsidRPr="007D2E72" w:rsidRDefault="007D2E72" w:rsidP="007D2E72">
      <w:pPr>
        <w:jc w:val="center"/>
        <w:rPr>
          <w:lang w:val="sr"/>
        </w:rPr>
      </w:pPr>
      <w:r w:rsidRPr="007D2E72">
        <w:rPr>
          <w:lang w:val="sr"/>
        </w:rPr>
        <w:t>Члан 84.</w:t>
      </w:r>
    </w:p>
    <w:p w14:paraId="752077F3" w14:textId="4878517D" w:rsidR="00C553E6" w:rsidRDefault="007D2E72" w:rsidP="007D2E72">
      <w:pPr>
        <w:rPr>
          <w:lang w:val="sr"/>
        </w:rPr>
      </w:pPr>
      <w:r>
        <w:rPr>
          <w:lang w:val="sr"/>
        </w:rPr>
        <w:t>После става 1, убацује се следећи, нови став:</w:t>
      </w:r>
    </w:p>
    <w:p w14:paraId="0909651A" w14:textId="1806D799" w:rsidR="007D2E72" w:rsidRPr="007D2E72" w:rsidRDefault="007D2E72" w:rsidP="007D2E72">
      <w:pPr>
        <w:rPr>
          <w:color w:val="FF0000"/>
          <w:lang w:val="sr"/>
        </w:rPr>
      </w:pPr>
      <w:r>
        <w:rPr>
          <w:color w:val="FF0000"/>
          <w:lang w:val="sr"/>
        </w:rPr>
        <w:t>”Број студената који се уписује на студијски програм се исказује у односу статус студената дефинисан у члану 82</w:t>
      </w:r>
      <w:r w:rsidR="000D5704">
        <w:rPr>
          <w:color w:val="FF0000"/>
          <w:lang w:val="sr"/>
        </w:rPr>
        <w:t xml:space="preserve">, сем што се не наводи број </w:t>
      </w:r>
      <w:r w:rsidR="00BF5795">
        <w:rPr>
          <w:color w:val="FF0000"/>
          <w:lang w:val="sr"/>
        </w:rPr>
        <w:t>студената убрзаног студирања</w:t>
      </w:r>
      <w:r>
        <w:rPr>
          <w:color w:val="FF0000"/>
          <w:lang w:val="sr"/>
        </w:rPr>
        <w:t>”</w:t>
      </w:r>
    </w:p>
    <w:p w14:paraId="27EC7B7B" w14:textId="77777777" w:rsidR="007D2E72" w:rsidRDefault="007D2E72" w:rsidP="00EA21B3">
      <w:pPr>
        <w:rPr>
          <w:color w:val="FF0000"/>
          <w:lang w:val="sr"/>
        </w:rPr>
      </w:pPr>
    </w:p>
    <w:p w14:paraId="6F497D38" w14:textId="77777777" w:rsidR="006D49CC" w:rsidRPr="006D49CC" w:rsidRDefault="006D49CC" w:rsidP="006D49CC">
      <w:pPr>
        <w:jc w:val="center"/>
        <w:rPr>
          <w:lang w:val="sr"/>
        </w:rPr>
      </w:pPr>
      <w:r w:rsidRPr="006D49CC">
        <w:rPr>
          <w:lang w:val="sr"/>
        </w:rPr>
        <w:t>Правила студија</w:t>
      </w:r>
    </w:p>
    <w:p w14:paraId="3649ED42" w14:textId="7155B87D" w:rsidR="007D2E72" w:rsidRPr="006D49CC" w:rsidRDefault="006D49CC" w:rsidP="006D49CC">
      <w:pPr>
        <w:jc w:val="center"/>
        <w:rPr>
          <w:lang w:val="sr"/>
        </w:rPr>
      </w:pPr>
      <w:r w:rsidRPr="006D49CC">
        <w:rPr>
          <w:lang w:val="sr"/>
        </w:rPr>
        <w:t>Члан 87.</w:t>
      </w:r>
    </w:p>
    <w:p w14:paraId="4D1FD312" w14:textId="124294B2" w:rsidR="007D2E72" w:rsidRPr="001F376E" w:rsidRDefault="00BF5795" w:rsidP="00EA21B3">
      <w:pPr>
        <w:rPr>
          <w:lang w:val="sr"/>
        </w:rPr>
      </w:pPr>
      <w:r>
        <w:rPr>
          <w:lang w:val="sr"/>
        </w:rPr>
        <w:t>После става 2, додаје се следећи</w:t>
      </w:r>
      <w:r w:rsidR="003B7C00">
        <w:rPr>
          <w:lang w:val="sr"/>
        </w:rPr>
        <w:t xml:space="preserve"> </w:t>
      </w:r>
      <w:r>
        <w:rPr>
          <w:lang w:val="sr"/>
        </w:rPr>
        <w:t>ставови</w:t>
      </w:r>
      <w:r w:rsidR="001F376E" w:rsidRPr="001F376E">
        <w:rPr>
          <w:lang w:val="sr"/>
        </w:rPr>
        <w:t>:</w:t>
      </w:r>
    </w:p>
    <w:p w14:paraId="57320272" w14:textId="460C2597" w:rsidR="00B805CE" w:rsidRDefault="001F376E" w:rsidP="00EA21B3">
      <w:pPr>
        <w:rPr>
          <w:color w:val="FF0000"/>
          <w:lang w:val="sr"/>
        </w:rPr>
      </w:pPr>
      <w:r>
        <w:rPr>
          <w:color w:val="FF0000"/>
          <w:lang w:val="sr"/>
        </w:rPr>
        <w:t>”Студент редовних студија је обавезан да оствари 60 ЕСПБ бодова годишње,</w:t>
      </w:r>
      <w:r w:rsidR="00B805CE">
        <w:rPr>
          <w:color w:val="FF0000"/>
          <w:lang w:val="sr"/>
        </w:rPr>
        <w:t xml:space="preserve"> а студент </w:t>
      </w:r>
      <w:r w:rsidR="00BF5795">
        <w:rPr>
          <w:color w:val="FF0000"/>
          <w:lang w:val="sr"/>
        </w:rPr>
        <w:t xml:space="preserve">продужених студија </w:t>
      </w:r>
      <w:r w:rsidR="00B805CE">
        <w:rPr>
          <w:color w:val="FF0000"/>
          <w:lang w:val="sr"/>
        </w:rPr>
        <w:t xml:space="preserve"> – </w:t>
      </w:r>
      <w:r w:rsidR="00BF5795">
        <w:rPr>
          <w:color w:val="FF0000"/>
          <w:lang w:val="sr"/>
        </w:rPr>
        <w:t xml:space="preserve"> најмање </w:t>
      </w:r>
      <w:r w:rsidR="00B805CE">
        <w:rPr>
          <w:color w:val="FF0000"/>
          <w:lang w:val="sr"/>
        </w:rPr>
        <w:t>30 ЕСПБ бодова годишње.</w:t>
      </w:r>
    </w:p>
    <w:p w14:paraId="57A8DB50" w14:textId="1F4F28B6" w:rsidR="00BF5795" w:rsidRDefault="00BF5795" w:rsidP="00EA21B3">
      <w:pPr>
        <w:rPr>
          <w:color w:val="FF0000"/>
          <w:lang w:val="sr"/>
        </w:rPr>
      </w:pPr>
      <w:r>
        <w:rPr>
          <w:color w:val="FF0000"/>
          <w:lang w:val="sr"/>
        </w:rPr>
        <w:t xml:space="preserve">На посебан захтев студента, високошколска установе може дозволити студенту  редовних или продужених  студија, продужене трајања студија до 50% дуже него што је наведено у претходном ставу. </w:t>
      </w:r>
    </w:p>
    <w:p w14:paraId="5556CC45" w14:textId="0152826A" w:rsidR="001F376E" w:rsidRDefault="00D940CA" w:rsidP="00EA21B3">
      <w:pPr>
        <w:rPr>
          <w:color w:val="FF0000"/>
          <w:lang w:val="sr"/>
        </w:rPr>
      </w:pPr>
      <w:r>
        <w:rPr>
          <w:color w:val="FF0000"/>
          <w:lang w:val="sr"/>
        </w:rPr>
        <w:t>Студент</w:t>
      </w:r>
      <w:r w:rsidR="001F376E">
        <w:rPr>
          <w:color w:val="FF0000"/>
          <w:lang w:val="sr"/>
        </w:rPr>
        <w:t xml:space="preserve"> редовних </w:t>
      </w:r>
      <w:r w:rsidR="00BF5795">
        <w:rPr>
          <w:color w:val="FF0000"/>
          <w:lang w:val="sr"/>
        </w:rPr>
        <w:t xml:space="preserve">или продужених </w:t>
      </w:r>
      <w:r w:rsidR="001F376E">
        <w:rPr>
          <w:color w:val="FF0000"/>
          <w:lang w:val="sr"/>
        </w:rPr>
        <w:t>студија</w:t>
      </w:r>
      <w:r>
        <w:rPr>
          <w:color w:val="FF0000"/>
          <w:lang w:val="sr"/>
        </w:rPr>
        <w:t xml:space="preserve">, може да се определи и за убрзано студирање, које може да </w:t>
      </w:r>
      <w:r w:rsidR="00BF5795">
        <w:rPr>
          <w:color w:val="FF0000"/>
          <w:lang w:val="sr"/>
        </w:rPr>
        <w:t>му</w:t>
      </w:r>
      <w:r>
        <w:rPr>
          <w:color w:val="FF0000"/>
          <w:lang w:val="sr"/>
        </w:rPr>
        <w:t xml:space="preserve"> омогући  стицање до 50% више ЕСПБ бодова у односу на број ЕСПБ бодова наведеним у претходна два става. </w:t>
      </w:r>
    </w:p>
    <w:p w14:paraId="6F96170D" w14:textId="4C8C290C" w:rsidR="003D30C5" w:rsidRPr="003D30C5" w:rsidRDefault="00DA507C" w:rsidP="003313E4">
      <w:pPr>
        <w:rPr>
          <w:color w:val="FF0000"/>
          <w:lang w:val="sr"/>
        </w:rPr>
      </w:pPr>
      <w:r>
        <w:rPr>
          <w:color w:val="FF0000"/>
          <w:lang w:val="sr"/>
        </w:rPr>
        <w:t>У случају у</w:t>
      </w:r>
      <w:r w:rsidR="003313E4">
        <w:rPr>
          <w:color w:val="FF0000"/>
          <w:lang w:val="sr"/>
        </w:rPr>
        <w:t xml:space="preserve">продуженог </w:t>
      </w:r>
      <w:r>
        <w:rPr>
          <w:color w:val="FF0000"/>
          <w:lang w:val="sr"/>
        </w:rPr>
        <w:t>сту</w:t>
      </w:r>
      <w:r w:rsidR="003B7C00">
        <w:rPr>
          <w:color w:val="FF0000"/>
          <w:lang w:val="sr"/>
        </w:rPr>
        <w:t>дирања</w:t>
      </w:r>
      <w:r>
        <w:rPr>
          <w:color w:val="FF0000"/>
          <w:lang w:val="sr"/>
        </w:rPr>
        <w:t>, високошколс</w:t>
      </w:r>
      <w:r w:rsidR="003B7C00">
        <w:rPr>
          <w:color w:val="FF0000"/>
          <w:lang w:val="sr"/>
        </w:rPr>
        <w:t xml:space="preserve">ка установа </w:t>
      </w:r>
      <w:r w:rsidR="00BF5795">
        <w:rPr>
          <w:color w:val="FF0000"/>
          <w:lang w:val="sr"/>
        </w:rPr>
        <w:t xml:space="preserve">није у обавези </w:t>
      </w:r>
      <w:r w:rsidR="00BF5795" w:rsidRPr="00BF5795">
        <w:rPr>
          <w:color w:val="FF0000"/>
          <w:lang w:val="sr"/>
        </w:rPr>
        <w:t xml:space="preserve">да студентима </w:t>
      </w:r>
      <w:r w:rsidR="003313E4">
        <w:rPr>
          <w:color w:val="FF0000"/>
          <w:lang w:val="sr"/>
        </w:rPr>
        <w:t>обезбеђује</w:t>
      </w:r>
      <w:r w:rsidR="00BF5795" w:rsidRPr="00BF5795">
        <w:rPr>
          <w:color w:val="FF0000"/>
          <w:lang w:val="sr"/>
        </w:rPr>
        <w:t xml:space="preserve"> исти програм студија за цело време трајањањ</w:t>
      </w:r>
      <w:r w:rsidR="003313E4">
        <w:rPr>
          <w:color w:val="FF0000"/>
          <w:lang w:val="sr"/>
        </w:rPr>
        <w:t>а њ</w:t>
      </w:r>
      <w:r w:rsidR="00BF5795" w:rsidRPr="00BF5795">
        <w:rPr>
          <w:color w:val="FF0000"/>
          <w:lang w:val="sr"/>
        </w:rPr>
        <w:t>ихових продужених студија, због потребе да се програми иновирају и осавремене</w:t>
      </w:r>
      <w:r w:rsidR="003313E4">
        <w:rPr>
          <w:color w:val="FF0000"/>
          <w:lang w:val="sr"/>
        </w:rPr>
        <w:t xml:space="preserve">, треба да обезбеди </w:t>
      </w:r>
      <w:r w:rsidR="003313E4" w:rsidRPr="003313E4">
        <w:rPr>
          <w:color w:val="FF0000"/>
          <w:lang w:val="sr"/>
        </w:rPr>
        <w:t>исти програм наставе који им</w:t>
      </w:r>
      <w:r w:rsidR="003313E4">
        <w:rPr>
          <w:color w:val="FF0000"/>
          <w:lang w:val="sr"/>
        </w:rPr>
        <w:t>ају и студенти редовних студија</w:t>
      </w:r>
      <w:r>
        <w:rPr>
          <w:color w:val="FF0000"/>
          <w:lang w:val="sr"/>
        </w:rPr>
        <w:t>.</w:t>
      </w:r>
      <w:r w:rsidR="003B7C00">
        <w:rPr>
          <w:color w:val="FF0000"/>
          <w:lang w:val="sr"/>
        </w:rPr>
        <w:t>”</w:t>
      </w:r>
    </w:p>
    <w:p w14:paraId="583F14CA" w14:textId="77777777" w:rsidR="003313E4" w:rsidRDefault="003313E4" w:rsidP="003D30C5">
      <w:pPr>
        <w:jc w:val="center"/>
        <w:rPr>
          <w:lang w:val="sr"/>
        </w:rPr>
      </w:pPr>
    </w:p>
    <w:p w14:paraId="271B10BE" w14:textId="6BFF3413" w:rsidR="003D30C5" w:rsidRDefault="003D30C5" w:rsidP="003D30C5">
      <w:pPr>
        <w:jc w:val="center"/>
        <w:rPr>
          <w:lang w:val="sr"/>
        </w:rPr>
      </w:pPr>
      <w:r w:rsidRPr="003D30C5">
        <w:rPr>
          <w:lang w:val="sr"/>
        </w:rPr>
        <w:t>Члан 88.</w:t>
      </w:r>
    </w:p>
    <w:p w14:paraId="545E1BBE" w14:textId="26D46BCB" w:rsidR="003D30C5" w:rsidRDefault="003D30C5" w:rsidP="003D30C5">
      <w:pPr>
        <w:rPr>
          <w:lang w:val="sr"/>
        </w:rPr>
      </w:pPr>
      <w:r>
        <w:rPr>
          <w:lang w:val="sr"/>
        </w:rPr>
        <w:t>На крају члана додати следећи текст:</w:t>
      </w:r>
    </w:p>
    <w:p w14:paraId="1C8F2021" w14:textId="599E3960" w:rsidR="00303F49" w:rsidRDefault="003D30C5" w:rsidP="003D30C5">
      <w:pPr>
        <w:rPr>
          <w:color w:val="FF0000"/>
          <w:lang w:val="sr"/>
        </w:rPr>
      </w:pPr>
      <w:r w:rsidRPr="003D30C5">
        <w:rPr>
          <w:color w:val="FF0000"/>
          <w:lang w:val="sr"/>
        </w:rPr>
        <w:t>”</w:t>
      </w:r>
      <w:r>
        <w:rPr>
          <w:color w:val="FF0000"/>
          <w:lang w:val="sr"/>
        </w:rPr>
        <w:t>Студент</w:t>
      </w:r>
      <w:r w:rsidR="00303F49">
        <w:rPr>
          <w:color w:val="FF0000"/>
          <w:lang w:val="sr"/>
        </w:rPr>
        <w:t xml:space="preserve"> редовних студија </w:t>
      </w:r>
      <w:r>
        <w:rPr>
          <w:color w:val="FF0000"/>
          <w:lang w:val="sr"/>
        </w:rPr>
        <w:t xml:space="preserve"> који сам финансира своје студије, а који не оствари 60 ЕСПБ годишење,</w:t>
      </w:r>
      <w:r w:rsidR="00303F49">
        <w:rPr>
          <w:color w:val="FF0000"/>
          <w:lang w:val="sr"/>
        </w:rPr>
        <w:t xml:space="preserve"> </w:t>
      </w:r>
      <w:r>
        <w:rPr>
          <w:color w:val="FF0000"/>
          <w:lang w:val="sr"/>
        </w:rPr>
        <w:t xml:space="preserve"> по</w:t>
      </w:r>
      <w:r w:rsidR="00303F49">
        <w:rPr>
          <w:color w:val="FF0000"/>
          <w:lang w:val="sr"/>
        </w:rPr>
        <w:t>но</w:t>
      </w:r>
      <w:r>
        <w:rPr>
          <w:color w:val="FF0000"/>
          <w:lang w:val="sr"/>
        </w:rPr>
        <w:t>во плаћа ш</w:t>
      </w:r>
      <w:r w:rsidR="00303F49">
        <w:rPr>
          <w:color w:val="FF0000"/>
          <w:lang w:val="sr"/>
        </w:rPr>
        <w:t>коларину за предмете које није положио и  које поново</w:t>
      </w:r>
      <w:r>
        <w:rPr>
          <w:color w:val="FF0000"/>
          <w:lang w:val="sr"/>
        </w:rPr>
        <w:t xml:space="preserve"> уписује</w:t>
      </w:r>
      <w:r w:rsidR="00303F49">
        <w:rPr>
          <w:color w:val="FF0000"/>
          <w:lang w:val="sr"/>
        </w:rPr>
        <w:t>, или за предмете које</w:t>
      </w:r>
      <w:r>
        <w:rPr>
          <w:color w:val="FF0000"/>
          <w:lang w:val="sr"/>
        </w:rPr>
        <w:t xml:space="preserve"> које уписује уместо њих</w:t>
      </w:r>
      <w:r w:rsidR="00303F49">
        <w:rPr>
          <w:color w:val="FF0000"/>
          <w:lang w:val="sr"/>
        </w:rPr>
        <w:t>.</w:t>
      </w:r>
    </w:p>
    <w:p w14:paraId="260C0F63" w14:textId="756EF6F8" w:rsidR="00303F49" w:rsidRDefault="00303F49" w:rsidP="003D30C5">
      <w:pPr>
        <w:rPr>
          <w:color w:val="FF0000"/>
          <w:lang w:val="sr"/>
        </w:rPr>
      </w:pPr>
      <w:r>
        <w:rPr>
          <w:color w:val="FF0000"/>
          <w:lang w:val="sr"/>
        </w:rPr>
        <w:t>Студент</w:t>
      </w:r>
      <w:r w:rsidR="005F432D">
        <w:rPr>
          <w:color w:val="FF0000"/>
          <w:lang w:val="sr"/>
        </w:rPr>
        <w:t xml:space="preserve"> </w:t>
      </w:r>
      <w:r w:rsidR="003313E4">
        <w:rPr>
          <w:color w:val="FF0000"/>
          <w:lang w:val="sr"/>
        </w:rPr>
        <w:t>продужених студија</w:t>
      </w:r>
      <w:r>
        <w:rPr>
          <w:color w:val="FF0000"/>
          <w:lang w:val="sr"/>
        </w:rPr>
        <w:t xml:space="preserve"> плаћа школарину за предмете које је уписао за</w:t>
      </w:r>
      <w:r w:rsidR="005F432D">
        <w:rPr>
          <w:color w:val="FF0000"/>
          <w:lang w:val="sr"/>
        </w:rPr>
        <w:t xml:space="preserve"> студирање и</w:t>
      </w:r>
      <w:r>
        <w:rPr>
          <w:color w:val="FF0000"/>
          <w:lang w:val="sr"/>
        </w:rPr>
        <w:t xml:space="preserve"> полагање у једној школској години, </w:t>
      </w:r>
      <w:r w:rsidR="005F432D">
        <w:rPr>
          <w:color w:val="FF0000"/>
          <w:lang w:val="sr"/>
        </w:rPr>
        <w:t xml:space="preserve">а </w:t>
      </w:r>
      <w:r w:rsidR="003313E4">
        <w:rPr>
          <w:color w:val="FF0000"/>
          <w:lang w:val="sr"/>
        </w:rPr>
        <w:t xml:space="preserve">предмете које </w:t>
      </w:r>
      <w:r>
        <w:rPr>
          <w:color w:val="FF0000"/>
          <w:lang w:val="sr"/>
        </w:rPr>
        <w:t xml:space="preserve">не положи у </w:t>
      </w:r>
      <w:r w:rsidR="00461F9D">
        <w:rPr>
          <w:color w:val="FF0000"/>
          <w:lang w:val="sr"/>
        </w:rPr>
        <w:t>до краја школске године</w:t>
      </w:r>
      <w:r>
        <w:rPr>
          <w:color w:val="FF0000"/>
          <w:lang w:val="sr"/>
        </w:rPr>
        <w:t>, поново уписује следеће школске године</w:t>
      </w:r>
      <w:r w:rsidR="005F432D">
        <w:rPr>
          <w:color w:val="FF0000"/>
          <w:lang w:val="sr"/>
        </w:rPr>
        <w:t xml:space="preserve">, или уписује нове предмете ако је дошло до промене програма, </w:t>
      </w:r>
      <w:r>
        <w:rPr>
          <w:color w:val="FF0000"/>
          <w:lang w:val="sr"/>
        </w:rPr>
        <w:t xml:space="preserve"> и плаћа за њих школарину.</w:t>
      </w:r>
      <w:r w:rsidR="005F432D">
        <w:rPr>
          <w:color w:val="FF0000"/>
          <w:lang w:val="sr"/>
        </w:rPr>
        <w:t>”</w:t>
      </w:r>
    </w:p>
    <w:p w14:paraId="395B363E" w14:textId="3907A85C" w:rsidR="003D30C5" w:rsidRPr="005F432D" w:rsidRDefault="00303F49" w:rsidP="005F432D">
      <w:pPr>
        <w:rPr>
          <w:color w:val="FF0000"/>
          <w:lang w:val="sr"/>
        </w:rPr>
      </w:pPr>
      <w:r>
        <w:rPr>
          <w:color w:val="FF0000"/>
          <w:lang w:val="sr"/>
        </w:rPr>
        <w:t xml:space="preserve"> </w:t>
      </w:r>
    </w:p>
    <w:p w14:paraId="547E8767" w14:textId="77777777" w:rsidR="003B7C00" w:rsidRPr="003B7C00" w:rsidRDefault="003B7C00" w:rsidP="003B7C00">
      <w:pPr>
        <w:jc w:val="center"/>
        <w:rPr>
          <w:lang w:val="sr"/>
        </w:rPr>
      </w:pPr>
      <w:r w:rsidRPr="003B7C00">
        <w:rPr>
          <w:lang w:val="sr"/>
        </w:rPr>
        <w:t>Престанак статуса студента</w:t>
      </w:r>
    </w:p>
    <w:p w14:paraId="568A4578" w14:textId="151D5695" w:rsidR="00B805CE" w:rsidRPr="003B7C00" w:rsidRDefault="003B7C00" w:rsidP="003B7C00">
      <w:pPr>
        <w:jc w:val="center"/>
        <w:rPr>
          <w:lang w:val="sr"/>
        </w:rPr>
      </w:pPr>
      <w:r w:rsidRPr="003B7C00">
        <w:rPr>
          <w:lang w:val="sr"/>
        </w:rPr>
        <w:t>Члан 94.</w:t>
      </w:r>
    </w:p>
    <w:p w14:paraId="43884A56" w14:textId="218F55A4" w:rsidR="00D940CA" w:rsidRPr="003B7C00" w:rsidRDefault="003B7C00" w:rsidP="00EA21B3">
      <w:pPr>
        <w:rPr>
          <w:lang w:val="sr"/>
        </w:rPr>
      </w:pPr>
      <w:r w:rsidRPr="003B7C00">
        <w:rPr>
          <w:lang w:val="sr"/>
        </w:rPr>
        <w:t>Текст у тачки 4) се мења следећим текстом:</w:t>
      </w:r>
    </w:p>
    <w:p w14:paraId="12D5414F" w14:textId="211C62EE" w:rsidR="003B7C00" w:rsidRDefault="003B7C00" w:rsidP="00EA21B3">
      <w:pPr>
        <w:rPr>
          <w:color w:val="FF0000"/>
          <w:lang w:val="sr"/>
        </w:rPr>
      </w:pPr>
      <w:r>
        <w:rPr>
          <w:b/>
          <w:color w:val="FF0000"/>
          <w:lang w:val="sr"/>
        </w:rPr>
        <w:t>”</w:t>
      </w:r>
      <w:r w:rsidRPr="003B7C00">
        <w:rPr>
          <w:color w:val="FF0000"/>
          <w:lang w:val="sr"/>
        </w:rPr>
        <w:t>4)</w:t>
      </w:r>
      <w:r>
        <w:rPr>
          <w:b/>
          <w:color w:val="FF0000"/>
          <w:lang w:val="sr"/>
        </w:rPr>
        <w:t xml:space="preserve"> </w:t>
      </w:r>
      <w:r w:rsidRPr="003D30C5">
        <w:rPr>
          <w:lang w:val="sr"/>
        </w:rPr>
        <w:t xml:space="preserve">када </w:t>
      </w:r>
      <w:r w:rsidR="003D30C5" w:rsidRPr="003D30C5">
        <w:rPr>
          <w:lang w:val="sr"/>
        </w:rPr>
        <w:t xml:space="preserve"> </w:t>
      </w:r>
      <w:r w:rsidR="003D30C5">
        <w:rPr>
          <w:color w:val="FF0000"/>
          <w:lang w:val="sr"/>
        </w:rPr>
        <w:t xml:space="preserve">редовни студент </w:t>
      </w:r>
      <w:r w:rsidR="003D30C5" w:rsidRPr="003D30C5">
        <w:rPr>
          <w:lang w:val="sr"/>
        </w:rPr>
        <w:t>не заврши студије до истека рока који се одређује у двоструком броју школских година потребних за реализацију студијског програма</w:t>
      </w:r>
      <w:r w:rsidR="003D30C5">
        <w:rPr>
          <w:color w:val="FF0000"/>
          <w:lang w:val="sr"/>
        </w:rPr>
        <w:t xml:space="preserve">, односно, када студент </w:t>
      </w:r>
      <w:r w:rsidR="00461F9D">
        <w:rPr>
          <w:color w:val="FF0000"/>
          <w:lang w:val="sr"/>
        </w:rPr>
        <w:t>продужених студија</w:t>
      </w:r>
      <w:r w:rsidR="003D30C5">
        <w:rPr>
          <w:color w:val="FF0000"/>
          <w:lang w:val="sr"/>
        </w:rPr>
        <w:t xml:space="preserve"> не заврши студије </w:t>
      </w:r>
      <w:r w:rsidR="00461F9D">
        <w:rPr>
          <w:color w:val="FF0000"/>
          <w:lang w:val="sr"/>
        </w:rPr>
        <w:t>у року одређен ставом 4 члана 87. ”</w:t>
      </w:r>
    </w:p>
    <w:p w14:paraId="39BD48FB" w14:textId="68B2D6B4" w:rsidR="002F2BCF" w:rsidRDefault="00ED3F9D" w:rsidP="002A2183">
      <w:pPr>
        <w:pStyle w:val="Heading1"/>
        <w:rPr>
          <w:lang w:val="sr"/>
        </w:rPr>
      </w:pPr>
      <w:r>
        <w:rPr>
          <w:lang w:val="sr"/>
        </w:rPr>
        <w:t>Акредитација</w:t>
      </w:r>
    </w:p>
    <w:p w14:paraId="0FB0DAFA" w14:textId="77777777" w:rsidR="00961C2B" w:rsidRDefault="00961C2B" w:rsidP="00ED3F9D">
      <w:r w:rsidRPr="00961C2B">
        <w:t>Студијски програм је јединствен без обзира на режим и облик студирања. Зато се и јединствено акредитује, тј. акредитација се додељује студијском програму, при чему се наводе превиђени  режими и начини студирања. Стандарди акредитације треба да предвиде услове за сваки од наведених режима и начина студирања. Број студената се одређуе се за сваки режим и начин студирања, зависно од  просторних и кадровских могућности ВШУ и не може се ограничавати  на други начин</w:t>
      </w:r>
      <w:r>
        <w:t>.</w:t>
      </w:r>
    </w:p>
    <w:p w14:paraId="4EA9F1EC" w14:textId="74411633" w:rsidR="00ED3F9D" w:rsidRDefault="00ED3F9D" w:rsidP="00ED3F9D">
      <w:r w:rsidRPr="00374BCB">
        <w:rPr>
          <w:i/>
        </w:rPr>
        <w:t xml:space="preserve">Не врши се посебна акредитација студијских програма, ако се они изводе у више </w:t>
      </w:r>
      <w:r w:rsidR="00961C2B">
        <w:rPr>
          <w:i/>
        </w:rPr>
        <w:t xml:space="preserve">режима и </w:t>
      </w:r>
      <w:r w:rsidRPr="00374BCB">
        <w:rPr>
          <w:i/>
        </w:rPr>
        <w:t>начина студирања</w:t>
      </w:r>
      <w:r w:rsidR="00374BCB">
        <w:t xml:space="preserve"> или ако се изводе и у облику редовних студија или студија уз рад, јер се ради о истом прораму. </w:t>
      </w:r>
      <w:r w:rsidRPr="00ED3F9D">
        <w:t>Стандарди акредитације треба да предвиде услове за сваки од наведена три начина студирања</w:t>
      </w:r>
      <w:r>
        <w:t xml:space="preserve"> (класичном онлајн и хибридно)</w:t>
      </w:r>
      <w:r w:rsidR="00961C2B">
        <w:t xml:space="preserve">, и за све </w:t>
      </w:r>
      <w:r w:rsidR="00374BCB">
        <w:t xml:space="preserve"> три </w:t>
      </w:r>
      <w:r w:rsidR="00961C2B">
        <w:t xml:space="preserve">режима </w:t>
      </w:r>
      <w:r w:rsidR="00374BCB">
        <w:t xml:space="preserve"> студирања (ре</w:t>
      </w:r>
      <w:r w:rsidR="00961C2B">
        <w:t>д</w:t>
      </w:r>
      <w:r w:rsidR="00645C51">
        <w:t>овно суд</w:t>
      </w:r>
      <w:r w:rsidR="00374BCB">
        <w:t xml:space="preserve">уирање, </w:t>
      </w:r>
      <w:r w:rsidR="00961C2B">
        <w:t>продужено студирање</w:t>
      </w:r>
      <w:r w:rsidR="00374BCB">
        <w:t xml:space="preserve"> и убрзано студирање). </w:t>
      </w:r>
    </w:p>
    <w:p w14:paraId="5A62E290" w14:textId="77777777" w:rsidR="00645C51" w:rsidRDefault="00645C51" w:rsidP="00ED3F9D">
      <w:r>
        <w:t xml:space="preserve">У циљу веће примене онлајн  или хибридног студирања, два облика која најшеће највише одговарају студентима продужених студија, стандарде акредитације онлајн студирања треба делимично променити, како би биле применљивије. На пример, садашње повећање оптерећења наставника за 50% ако се предаје онлајн, не одговара реалном оптерећењу наставника због те наставе, те се предлаже да се ово оптерећење смањи на ниво од 10 до 15% у односу на оптерећење на класичној настави. </w:t>
      </w:r>
    </w:p>
    <w:p w14:paraId="7FFD928B" w14:textId="1ACB6D90" w:rsidR="00645C51" w:rsidRDefault="00645C51" w:rsidP="00ED3F9D">
      <w:r>
        <w:t xml:space="preserve">Као што је и превођеним иѕменама закона, </w:t>
      </w:r>
      <w:r w:rsidRPr="00645C51">
        <w:t xml:space="preserve">никакво додатно ограничавање укупног броја студената онлајн облика наставе (као до сада од 30% од броја студената класичне наставе) не треба ограничавати, </w:t>
      </w:r>
      <w:r>
        <w:t xml:space="preserve">ако су задовољени превиђени стандарди акредитације онлајн наставе. </w:t>
      </w:r>
      <w:r w:rsidRPr="00645C51">
        <w:t>И садашњи стандар</w:t>
      </w:r>
      <w:r>
        <w:t>ди акредитације успостављају вез</w:t>
      </w:r>
      <w:r w:rsidRPr="00645C51">
        <w:t>у броја онлајн студената и броја сарадника који са њима обављају консултације (80 на једног сарадника), те било какво додатно и паушало ограничење је непотребно и штетно.</w:t>
      </w:r>
    </w:p>
    <w:p w14:paraId="54C2F03B" w14:textId="655AAD64" w:rsidR="00ED3F9D" w:rsidRDefault="00374BCB" w:rsidP="00ED3F9D">
      <w:r>
        <w:t xml:space="preserve"> </w:t>
      </w:r>
    </w:p>
    <w:p w14:paraId="12FA8858" w14:textId="77777777" w:rsidR="002F2BCF" w:rsidRPr="002F2BCF" w:rsidRDefault="002F2BCF" w:rsidP="00EA21B3">
      <w:pPr>
        <w:rPr>
          <w:lang w:val="sr"/>
        </w:rPr>
      </w:pPr>
    </w:p>
    <w:p w14:paraId="2600DE75" w14:textId="62BAD275" w:rsidR="00CA0414" w:rsidRDefault="00CA0414" w:rsidP="00EA21B3">
      <w:r w:rsidRPr="00CA0414">
        <w:t>Припремио</w:t>
      </w:r>
      <w:r w:rsidR="00361D0E">
        <w:t xml:space="preserve"> верзију 2.0</w:t>
      </w:r>
      <w:r w:rsidRPr="00CA0414">
        <w:t>,</w:t>
      </w:r>
    </w:p>
    <w:p w14:paraId="071055CF" w14:textId="77777777" w:rsidR="00CA0414" w:rsidRPr="00CA0414" w:rsidRDefault="00CA0414" w:rsidP="00EA21B3"/>
    <w:p w14:paraId="18B89B2D" w14:textId="77777777" w:rsidR="00CA0414" w:rsidRDefault="00CA0414" w:rsidP="00EA21B3">
      <w:r w:rsidRPr="00CA0414">
        <w:t xml:space="preserve">Драган Домазет, </w:t>
      </w:r>
    </w:p>
    <w:p w14:paraId="3FED31F0" w14:textId="017D0E9F" w:rsidR="00CA0414" w:rsidRPr="00CA0414" w:rsidRDefault="00AF60BF" w:rsidP="00EA21B3">
      <w:r>
        <w:t>0</w:t>
      </w:r>
      <w:r w:rsidR="00361D0E">
        <w:t>5.</w:t>
      </w:r>
      <w:r>
        <w:t>0</w:t>
      </w:r>
      <w:r w:rsidR="00361D0E">
        <w:t>1.2017</w:t>
      </w:r>
      <w:r w:rsidR="00CA0414" w:rsidRPr="00CA0414">
        <w:t>.</w:t>
      </w:r>
    </w:p>
    <w:sectPr w:rsidR="00CA0414" w:rsidRPr="00CA0414" w:rsidSect="00C50A51">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3210" w14:textId="77777777" w:rsidR="00645C51" w:rsidRDefault="00645C51" w:rsidP="00C50A51">
      <w:pPr>
        <w:spacing w:before="0"/>
      </w:pPr>
      <w:r>
        <w:separator/>
      </w:r>
    </w:p>
  </w:endnote>
  <w:endnote w:type="continuationSeparator" w:id="0">
    <w:p w14:paraId="2BA1692B" w14:textId="77777777" w:rsidR="00645C51" w:rsidRDefault="00645C51" w:rsidP="00C50A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A37F" w14:textId="77777777" w:rsidR="00645C51" w:rsidRDefault="00645C51"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FE9A" w14:textId="77777777" w:rsidR="00645C51" w:rsidRDefault="00645C51" w:rsidP="00CE2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41B4" w14:textId="5B4AE801" w:rsidR="00645C51" w:rsidRDefault="00645C51" w:rsidP="00ED43DE">
    <w:pPr>
      <w:pStyle w:val="Footer"/>
      <w:framePr w:wrap="around" w:vAnchor="text" w:hAnchor="margin" w:xAlign="right" w:y="1"/>
      <w:rPr>
        <w:rFonts w:cs="Arial"/>
        <w:color w:val="0D0D0D" w:themeColor="text1" w:themeTint="F2"/>
      </w:rPr>
    </w:pPr>
    <w:r>
      <w:rPr>
        <w:rStyle w:val="PageNumber"/>
      </w:rPr>
      <w:fldChar w:fldCharType="begin"/>
    </w:r>
    <w:r>
      <w:rPr>
        <w:rStyle w:val="PageNumber"/>
      </w:rPr>
      <w:instrText xml:space="preserve">PAGE  </w:instrText>
    </w:r>
    <w:r>
      <w:rPr>
        <w:rStyle w:val="PageNumber"/>
      </w:rPr>
      <w:fldChar w:fldCharType="separate"/>
    </w:r>
    <w:r w:rsidR="001F2C87">
      <w:rPr>
        <w:rStyle w:val="PageNumber"/>
        <w:noProof/>
      </w:rPr>
      <w:t>1</w:t>
    </w:r>
    <w:r>
      <w:rPr>
        <w:rStyle w:val="PageNumber"/>
      </w:rPr>
      <w:fldChar w:fldCharType="end"/>
    </w:r>
  </w:p>
  <w:p w14:paraId="6187C11C" w14:textId="72B74419" w:rsidR="00645C51" w:rsidRPr="00ED43DE" w:rsidRDefault="00645C51" w:rsidP="00ED43DE">
    <w:pPr>
      <w:pStyle w:val="Footer"/>
      <w:jc w:val="center"/>
      <w:rPr>
        <w:rFonts w:cs="Arial"/>
        <w:color w:val="0D0D0D" w:themeColor="text1" w:themeTint="F2"/>
      </w:rPr>
    </w:pPr>
    <w:r>
      <w:rPr>
        <w:rFonts w:cs="Arial"/>
        <w:noProof/>
        <w:color w:val="0D0D0D" w:themeColor="text1" w:themeTint="F2"/>
        <w:lang w:val="en-US"/>
      </w:rPr>
      <mc:AlternateContent>
        <mc:Choice Requires="wps">
          <w:drawing>
            <wp:anchor distT="0" distB="0" distL="114300" distR="114300" simplePos="0" relativeHeight="251661312" behindDoc="0" locked="0" layoutInCell="1" allowOverlap="1" wp14:anchorId="7BBC7441" wp14:editId="64980192">
              <wp:simplePos x="0" y="0"/>
              <wp:positionH relativeFrom="column">
                <wp:posOffset>0</wp:posOffset>
              </wp:positionH>
              <wp:positionV relativeFrom="paragraph">
                <wp:posOffset>-162560</wp:posOffset>
              </wp:positionV>
              <wp:extent cx="5715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75pt" to="450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" strokecolor="#4f81bd [3204]" strokeweight="2pt"/>
          </w:pict>
        </mc:Fallback>
      </mc:AlternateContent>
    </w:r>
    <w:r w:rsidRPr="00192B74">
      <w:rPr>
        <w:rFonts w:cs="Arial"/>
        <w:color w:val="0D0D0D" w:themeColor="text1" w:themeTint="F2"/>
      </w:rPr>
      <w:t>www.pt-sche.metropolitan.ac.rs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1699" w14:textId="77777777" w:rsidR="00645C51" w:rsidRDefault="00645C51" w:rsidP="00C50A51">
      <w:pPr>
        <w:spacing w:before="0"/>
      </w:pPr>
      <w:r>
        <w:separator/>
      </w:r>
    </w:p>
  </w:footnote>
  <w:footnote w:type="continuationSeparator" w:id="0">
    <w:p w14:paraId="10D91368" w14:textId="77777777" w:rsidR="00645C51" w:rsidRDefault="00645C51" w:rsidP="00C50A51">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B6A1" w14:textId="7B1D3F0A" w:rsidR="00645C51" w:rsidRDefault="00645C51">
    <w:pPr>
      <w:pStyle w:val="Header"/>
    </w:pPr>
    <w:r>
      <w:rPr>
        <w:noProof/>
        <w:lang w:val="en-US"/>
      </w:rPr>
      <w:drawing>
        <wp:anchor distT="0" distB="0" distL="114300" distR="114300" simplePos="0" relativeHeight="251659264" behindDoc="0" locked="0" layoutInCell="1" allowOverlap="1" wp14:anchorId="686F9020" wp14:editId="774C1E36">
          <wp:simplePos x="0" y="0"/>
          <wp:positionH relativeFrom="column">
            <wp:posOffset>-114300</wp:posOffset>
          </wp:positionH>
          <wp:positionV relativeFrom="paragraph">
            <wp:posOffset>121920</wp:posOffset>
          </wp:positionV>
          <wp:extent cx="1276350" cy="781050"/>
          <wp:effectExtent l="0" t="0" r="0" b="6350"/>
          <wp:wrapSquare wrapText="bothSides"/>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67B0A8B" w14:textId="1769E817" w:rsidR="00645C51" w:rsidRPr="00480E69" w:rsidRDefault="00645C51" w:rsidP="00480E69">
    <w:pPr>
      <w:pStyle w:val="Header"/>
      <w:jc w:val="right"/>
      <w:rPr>
        <w:lang w:val="sr"/>
      </w:rPr>
    </w:pPr>
    <w:r>
      <w:rPr>
        <w:noProof/>
        <w:lang w:val="en-US"/>
      </w:rPr>
      <w:drawing>
        <wp:inline distT="0" distB="0" distL="0" distR="0" wp14:anchorId="12AD10E1" wp14:editId="1D82493B">
          <wp:extent cx="1990725" cy="590550"/>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srcRect/>
                  <a:stretch>
                    <a:fillRect/>
                  </a:stretch>
                </pic:blipFill>
                <pic:spPr bwMode="auto">
                  <a:xfrm>
                    <a:off x="0" y="0"/>
                    <a:ext cx="1990725" cy="590550"/>
                  </a:xfrm>
                  <a:prstGeom prst="rect">
                    <a:avLst/>
                  </a:prstGeom>
                  <a:noFill/>
                  <a:ln w="9525">
                    <a:noFill/>
                    <a:miter lim="800000"/>
                    <a:headEnd/>
                    <a:tailEnd/>
                  </a:ln>
                </pic:spPr>
              </pic:pic>
            </a:graphicData>
          </a:graphic>
        </wp:inline>
      </w:drawing>
    </w:r>
  </w:p>
  <w:p w14:paraId="143EB4F4" w14:textId="7B60B941" w:rsidR="00645C51" w:rsidRDefault="00645C51">
    <w:pPr>
      <w:pStyle w:val="Header"/>
    </w:pPr>
    <w:r>
      <w:rPr>
        <w:noProof/>
        <w:lang w:val="en-US"/>
      </w:rPr>
      <mc:AlternateContent>
        <mc:Choice Requires="wps">
          <w:drawing>
            <wp:anchor distT="0" distB="0" distL="114300" distR="114300" simplePos="0" relativeHeight="251660288" behindDoc="0" locked="0" layoutInCell="1" allowOverlap="1" wp14:anchorId="20E9706C" wp14:editId="352CD942">
              <wp:simplePos x="0" y="0"/>
              <wp:positionH relativeFrom="column">
                <wp:posOffset>0</wp:posOffset>
              </wp:positionH>
              <wp:positionV relativeFrom="paragraph">
                <wp:posOffset>3810</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459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" strokecolor="#4f81bd [3204]"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8FE"/>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1361D"/>
    <w:multiLevelType w:val="hybridMultilevel"/>
    <w:tmpl w:val="AF524CBC"/>
    <w:lvl w:ilvl="0" w:tplc="3328CEBC">
      <w:start w:val="1"/>
      <w:numFmt w:val="lowerLetter"/>
      <w:lvlText w:val="%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837DE"/>
    <w:multiLevelType w:val="hybridMultilevel"/>
    <w:tmpl w:val="EF7C06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F38BC"/>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5ACC"/>
    <w:multiLevelType w:val="hybridMultilevel"/>
    <w:tmpl w:val="0BBC96D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nsid w:val="18645E79"/>
    <w:multiLevelType w:val="hybridMultilevel"/>
    <w:tmpl w:val="1726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323D6"/>
    <w:multiLevelType w:val="hybridMultilevel"/>
    <w:tmpl w:val="26FC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B489B"/>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039A7"/>
    <w:multiLevelType w:val="hybridMultilevel"/>
    <w:tmpl w:val="FD6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55C4A"/>
    <w:multiLevelType w:val="hybridMultilevel"/>
    <w:tmpl w:val="7B90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B2636"/>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7948B6"/>
    <w:multiLevelType w:val="multilevel"/>
    <w:tmpl w:val="39A0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3"/>
  </w:num>
  <w:num w:numId="3">
    <w:abstractNumId w:val="8"/>
  </w:num>
  <w:num w:numId="4">
    <w:abstractNumId w:val="5"/>
  </w:num>
  <w:num w:numId="5">
    <w:abstractNumId w:val="9"/>
  </w:num>
  <w:num w:numId="6">
    <w:abstractNumId w:val="6"/>
  </w:num>
  <w:num w:numId="7">
    <w:abstractNumId w:val="0"/>
  </w:num>
  <w:num w:numId="8">
    <w:abstractNumId w:val="10"/>
  </w:num>
  <w:num w:numId="9">
    <w:abstractNumId w:val="7"/>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1"/>
    <w:rsid w:val="000816F7"/>
    <w:rsid w:val="000D5704"/>
    <w:rsid w:val="000E69EF"/>
    <w:rsid w:val="001330FC"/>
    <w:rsid w:val="001A3B21"/>
    <w:rsid w:val="001C7154"/>
    <w:rsid w:val="001C7980"/>
    <w:rsid w:val="001D4CBD"/>
    <w:rsid w:val="001F2C87"/>
    <w:rsid w:val="001F376E"/>
    <w:rsid w:val="002170F1"/>
    <w:rsid w:val="00232DAB"/>
    <w:rsid w:val="002A2183"/>
    <w:rsid w:val="002E394C"/>
    <w:rsid w:val="002F2BCF"/>
    <w:rsid w:val="00303F49"/>
    <w:rsid w:val="00312B87"/>
    <w:rsid w:val="003313E4"/>
    <w:rsid w:val="00361D0E"/>
    <w:rsid w:val="00374BCB"/>
    <w:rsid w:val="003B7C00"/>
    <w:rsid w:val="003D30C5"/>
    <w:rsid w:val="00431B3E"/>
    <w:rsid w:val="00461F9D"/>
    <w:rsid w:val="00480E69"/>
    <w:rsid w:val="00487D58"/>
    <w:rsid w:val="004B51D2"/>
    <w:rsid w:val="005F432D"/>
    <w:rsid w:val="00635B80"/>
    <w:rsid w:val="00645C51"/>
    <w:rsid w:val="006D49CC"/>
    <w:rsid w:val="00706332"/>
    <w:rsid w:val="00746643"/>
    <w:rsid w:val="007D2E72"/>
    <w:rsid w:val="00823F87"/>
    <w:rsid w:val="0088600B"/>
    <w:rsid w:val="00927ACC"/>
    <w:rsid w:val="00960FCC"/>
    <w:rsid w:val="00961C2B"/>
    <w:rsid w:val="00AF60BF"/>
    <w:rsid w:val="00B05778"/>
    <w:rsid w:val="00B35E31"/>
    <w:rsid w:val="00B805CE"/>
    <w:rsid w:val="00BE0D79"/>
    <w:rsid w:val="00BF5795"/>
    <w:rsid w:val="00C03AF3"/>
    <w:rsid w:val="00C21147"/>
    <w:rsid w:val="00C30F0F"/>
    <w:rsid w:val="00C50A51"/>
    <w:rsid w:val="00C553E6"/>
    <w:rsid w:val="00C61C36"/>
    <w:rsid w:val="00C72548"/>
    <w:rsid w:val="00CA0414"/>
    <w:rsid w:val="00CE23CE"/>
    <w:rsid w:val="00CF3D74"/>
    <w:rsid w:val="00D433E2"/>
    <w:rsid w:val="00D940CA"/>
    <w:rsid w:val="00DA507C"/>
    <w:rsid w:val="00DC6271"/>
    <w:rsid w:val="00DD466B"/>
    <w:rsid w:val="00DF0CCF"/>
    <w:rsid w:val="00DF541C"/>
    <w:rsid w:val="00E25BBC"/>
    <w:rsid w:val="00E8471F"/>
    <w:rsid w:val="00EA00B5"/>
    <w:rsid w:val="00EA21B3"/>
    <w:rsid w:val="00EB560A"/>
    <w:rsid w:val="00EC5C5A"/>
    <w:rsid w:val="00ED3F9D"/>
    <w:rsid w:val="00ED43DE"/>
    <w:rsid w:val="00EE0BF5"/>
    <w:rsid w:val="00EF320E"/>
    <w:rsid w:val="00F45BA7"/>
    <w:rsid w:val="00F5402A"/>
    <w:rsid w:val="00F72630"/>
    <w:rsid w:val="00F937A3"/>
    <w:rsid w:val="00FA6CD5"/>
    <w:rsid w:val="00FB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B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4"/>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BalloonText">
    <w:name w:val="Balloon Text"/>
    <w:basedOn w:val="Normal"/>
    <w:link w:val="BalloonTextChar"/>
    <w:uiPriority w:val="99"/>
    <w:semiHidden/>
    <w:unhideWhenUsed/>
    <w:rsid w:val="00480E69"/>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80E69"/>
    <w:rPr>
      <w:rFonts w:ascii="Lucida Grande CY" w:hAnsi="Lucida Grande CY" w:cs="Lucida Grande CY"/>
      <w:sz w:val="18"/>
      <w:szCs w:val="18"/>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4"/>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BalloonText">
    <w:name w:val="Balloon Text"/>
    <w:basedOn w:val="Normal"/>
    <w:link w:val="BalloonTextChar"/>
    <w:uiPriority w:val="99"/>
    <w:semiHidden/>
    <w:unhideWhenUsed/>
    <w:rsid w:val="00480E69"/>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80E69"/>
    <w:rPr>
      <w:rFonts w:ascii="Lucida Grande CY" w:hAnsi="Lucida Grande CY" w:cs="Lucida Grande CY"/>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1313</Words>
  <Characters>7437</Characters>
  <Application>Microsoft Macintosh Word</Application>
  <DocSecurity>0</DocSecurity>
  <Lines>90</Lines>
  <Paragraphs>17</Paragraphs>
  <ScaleCrop>false</ScaleCrop>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7</cp:revision>
  <dcterms:created xsi:type="dcterms:W3CDTF">2017-01-07T09:19:00Z</dcterms:created>
  <dcterms:modified xsi:type="dcterms:W3CDTF">2019-04-16T21:58:00Z</dcterms:modified>
</cp:coreProperties>
</file>