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B016" w14:textId="44C55A8C" w:rsidR="00BC3937" w:rsidRPr="00BC3937" w:rsidRDefault="00BC3937" w:rsidP="00A120A0">
      <w:pPr>
        <w:spacing w:before="0"/>
        <w:ind w:firstLine="0"/>
        <w:jc w:val="center"/>
        <w:rPr>
          <w:rFonts w:cs="Times New Roman"/>
          <w:b/>
          <w:caps/>
          <w:sz w:val="24"/>
          <w:szCs w:val="24"/>
          <w:lang w:val="uz-Cyrl-UZ"/>
        </w:rPr>
      </w:pPr>
      <w:r w:rsidRPr="00BC3937">
        <w:rPr>
          <w:rFonts w:cs="Times New Roman"/>
          <w:b/>
          <w:caps/>
          <w:sz w:val="24"/>
          <w:szCs w:val="24"/>
          <w:lang w:val="uz-Cyrl-UZ"/>
        </w:rPr>
        <w:t xml:space="preserve">Изводи из </w:t>
      </w:r>
      <w:r w:rsidRPr="00123BD6">
        <w:rPr>
          <w:rFonts w:cs="Times New Roman"/>
          <w:b/>
          <w:i/>
          <w:caps/>
          <w:sz w:val="24"/>
          <w:szCs w:val="24"/>
          <w:lang w:val="uz-Cyrl-UZ"/>
        </w:rPr>
        <w:t xml:space="preserve">Закона о високом образовању Републике </w:t>
      </w:r>
      <w:r w:rsidR="00123BD6" w:rsidRPr="00123BD6">
        <w:rPr>
          <w:rFonts w:cs="Times New Roman"/>
          <w:b/>
          <w:i/>
          <w:caps/>
          <w:sz w:val="24"/>
          <w:szCs w:val="24"/>
          <w:lang w:val="uz-Cyrl-UZ"/>
        </w:rPr>
        <w:t>Србије</w:t>
      </w:r>
      <w:r w:rsidR="00123BD6" w:rsidRPr="00BC3937">
        <w:rPr>
          <w:rFonts w:cs="Times New Roman"/>
          <w:b/>
          <w:caps/>
          <w:sz w:val="24"/>
          <w:szCs w:val="24"/>
          <w:lang w:val="uz-Cyrl-UZ"/>
        </w:rPr>
        <w:t xml:space="preserve"> </w:t>
      </w:r>
      <w:r w:rsidRPr="002A40DE">
        <w:rPr>
          <w:rFonts w:cs="Times New Roman"/>
          <w:bCs/>
          <w:i/>
          <w:sz w:val="24"/>
          <w:szCs w:val="24"/>
          <w:lang w:val="sr-Latn-RS"/>
        </w:rPr>
        <w:t>(Сл. Г</w:t>
      </w:r>
      <w:r w:rsidRPr="002A40DE">
        <w:rPr>
          <w:rFonts w:cs="Times New Roman"/>
          <w:bCs/>
          <w:i/>
          <w:sz w:val="24"/>
          <w:szCs w:val="24"/>
          <w:lang w:val="sr-Cyrl-RS"/>
        </w:rPr>
        <w:t>ласник Бр</w:t>
      </w:r>
      <w:r w:rsidRPr="002A40DE">
        <w:rPr>
          <w:rFonts w:cs="Times New Roman"/>
          <w:bCs/>
          <w:i/>
          <w:sz w:val="24"/>
          <w:szCs w:val="24"/>
          <w:lang w:val="sr-Latn-RS"/>
        </w:rPr>
        <w:t xml:space="preserve">. </w:t>
      </w:r>
      <w:r w:rsidRPr="002A40DE">
        <w:rPr>
          <w:rFonts w:cs="Times New Roman"/>
          <w:bCs/>
          <w:i/>
          <w:sz w:val="24"/>
          <w:szCs w:val="24"/>
          <w:lang w:val="sr-Cyrl-RS"/>
        </w:rPr>
        <w:t>88/2017; 27/2018; 73/2018</w:t>
      </w:r>
      <w:r w:rsidRPr="002A40DE">
        <w:rPr>
          <w:rFonts w:cs="Times New Roman"/>
          <w:bCs/>
          <w:i/>
          <w:sz w:val="24"/>
          <w:szCs w:val="24"/>
          <w:lang w:val="sr-Latn-RS"/>
        </w:rPr>
        <w:t>)</w:t>
      </w:r>
      <w:r>
        <w:rPr>
          <w:rFonts w:cs="Times New Roman"/>
          <w:bCs/>
          <w:i/>
          <w:sz w:val="24"/>
          <w:szCs w:val="24"/>
          <w:lang w:val="sr-Latn-RS"/>
        </w:rPr>
        <w:t xml:space="preserve"> </w:t>
      </w:r>
      <w:r w:rsidRPr="00BC3937">
        <w:rPr>
          <w:rFonts w:cs="Times New Roman"/>
          <w:b/>
          <w:caps/>
          <w:sz w:val="24"/>
          <w:szCs w:val="24"/>
          <w:lang w:val="uz-Cyrl-UZ"/>
        </w:rPr>
        <w:t>који се односе на студирање уз рад и кратке програме студија</w:t>
      </w:r>
    </w:p>
    <w:p w14:paraId="75A5F310" w14:textId="77777777" w:rsidR="00BC3937" w:rsidRDefault="00BC3937" w:rsidP="001C2478">
      <w:pPr>
        <w:spacing w:before="0"/>
        <w:ind w:firstLine="0"/>
        <w:rPr>
          <w:rFonts w:cs="Times New Roman"/>
          <w:i/>
          <w:sz w:val="24"/>
          <w:szCs w:val="24"/>
          <w:lang w:val="uz-Cyrl-UZ"/>
        </w:rPr>
      </w:pPr>
    </w:p>
    <w:p w14:paraId="7F805191" w14:textId="77777777" w:rsidR="00BC3937" w:rsidRDefault="00BC3937" w:rsidP="001C2478">
      <w:pPr>
        <w:spacing w:before="0"/>
        <w:ind w:firstLine="0"/>
        <w:rPr>
          <w:rFonts w:cs="Times New Roman"/>
          <w:i/>
          <w:sz w:val="24"/>
          <w:szCs w:val="24"/>
          <w:lang w:val="uz-Cyrl-UZ"/>
        </w:rPr>
      </w:pPr>
    </w:p>
    <w:p w14:paraId="24985FFD" w14:textId="531BC089" w:rsidR="008256FD" w:rsidRPr="00123BD6" w:rsidRDefault="00BC3937" w:rsidP="00123BD6">
      <w:pPr>
        <w:spacing w:before="0"/>
        <w:ind w:firstLine="0"/>
        <w:rPr>
          <w:rFonts w:cs="Times New Roman"/>
          <w:b/>
          <w:bCs/>
          <w:caps/>
          <w:lang w:val="sr-Cyrl-RS"/>
        </w:rPr>
      </w:pPr>
      <w:r w:rsidRPr="00123BD6">
        <w:rPr>
          <w:rFonts w:cs="Times New Roman"/>
          <w:b/>
          <w:caps/>
          <w:sz w:val="24"/>
          <w:szCs w:val="24"/>
          <w:lang w:val="uz-Cyrl-UZ"/>
        </w:rPr>
        <w:t>1.</w:t>
      </w:r>
      <w:r w:rsidR="00DF5076" w:rsidRPr="00123BD6">
        <w:rPr>
          <w:rFonts w:cs="Times New Roman"/>
          <w:b/>
          <w:caps/>
          <w:sz w:val="24"/>
          <w:szCs w:val="24"/>
          <w:lang w:val="uz-Cyrl-UZ"/>
        </w:rPr>
        <w:t xml:space="preserve"> </w:t>
      </w:r>
      <w:r w:rsidRPr="00123BD6">
        <w:rPr>
          <w:rFonts w:cs="Times New Roman"/>
          <w:b/>
          <w:bCs/>
          <w:caps/>
          <w:sz w:val="24"/>
          <w:szCs w:val="24"/>
          <w:lang w:val="sr-Cyrl-RS"/>
        </w:rPr>
        <w:t>Изводи који се односе на студирање уз рад</w:t>
      </w:r>
      <w:r w:rsidRPr="00123BD6">
        <w:rPr>
          <w:rFonts w:cs="Times New Roman"/>
          <w:b/>
          <w:bCs/>
          <w:caps/>
          <w:sz w:val="24"/>
          <w:szCs w:val="24"/>
          <w:lang w:val="en-GB"/>
        </w:rPr>
        <w:t xml:space="preserve"> </w:t>
      </w:r>
    </w:p>
    <w:p w14:paraId="1DFF0032" w14:textId="77777777" w:rsidR="001C2478" w:rsidRPr="00BC3349" w:rsidRDefault="001C2478" w:rsidP="001C2478">
      <w:pPr>
        <w:pStyle w:val="ListParagraph"/>
        <w:spacing w:before="0"/>
        <w:ind w:left="360"/>
        <w:rPr>
          <w:rFonts w:ascii="Times New Roman" w:hAnsi="Times New Roman" w:cs="Times New Roman"/>
          <w:lang w:val="sr-Cyrl-RS"/>
        </w:rPr>
      </w:pPr>
    </w:p>
    <w:p w14:paraId="5AB73A41" w14:textId="77777777" w:rsidR="00E778B5" w:rsidRPr="001C2478" w:rsidRDefault="00E778B5" w:rsidP="001C2478">
      <w:pPr>
        <w:spacing w:before="0"/>
        <w:jc w:val="center"/>
        <w:rPr>
          <w:rFonts w:eastAsia="Times New Roman" w:cs="Times New Roman"/>
          <w:b/>
          <w:sz w:val="24"/>
          <w:szCs w:val="24"/>
          <w:lang w:val="uz-Cyrl-UZ"/>
        </w:rPr>
      </w:pPr>
      <w:r w:rsidRPr="001C2478">
        <w:rPr>
          <w:rFonts w:eastAsia="Times New Roman" w:cs="Times New Roman"/>
          <w:b/>
          <w:sz w:val="24"/>
          <w:szCs w:val="24"/>
          <w:lang w:val="uz-Cyrl-UZ"/>
        </w:rPr>
        <w:t>Организација студија</w:t>
      </w:r>
    </w:p>
    <w:p w14:paraId="4242C361" w14:textId="77777777" w:rsidR="00E778B5" w:rsidRPr="00BC3349" w:rsidRDefault="00E778B5" w:rsidP="001C2478">
      <w:pPr>
        <w:spacing w:before="0"/>
        <w:jc w:val="center"/>
        <w:rPr>
          <w:rFonts w:eastAsia="Times New Roman" w:cs="Times New Roman"/>
          <w:sz w:val="24"/>
          <w:szCs w:val="24"/>
          <w:lang w:val="uz-Cyrl-UZ"/>
        </w:rPr>
      </w:pPr>
      <w:r w:rsidRPr="001C2478">
        <w:rPr>
          <w:rFonts w:eastAsia="Times New Roman" w:cs="Times New Roman"/>
          <w:b/>
          <w:sz w:val="24"/>
          <w:szCs w:val="24"/>
          <w:lang w:val="uz-Cyrl-UZ"/>
        </w:rPr>
        <w:t>Члан 96</w:t>
      </w:r>
      <w:r w:rsidRPr="00BC3349">
        <w:rPr>
          <w:rFonts w:eastAsia="Times New Roman" w:cs="Times New Roman"/>
          <w:sz w:val="24"/>
          <w:szCs w:val="24"/>
          <w:lang w:val="uz-Cyrl-UZ"/>
        </w:rPr>
        <w:t>.</w:t>
      </w:r>
    </w:p>
    <w:p w14:paraId="164E2C12" w14:textId="77777777" w:rsidR="00E778B5" w:rsidRPr="008256FD" w:rsidRDefault="00E778B5" w:rsidP="001C2478">
      <w:pPr>
        <w:spacing w:before="0"/>
        <w:rPr>
          <w:rFonts w:eastAsia="Times New Roman" w:cs="Times New Roman"/>
          <w:sz w:val="24"/>
          <w:szCs w:val="24"/>
          <w:lang w:val="sr-Cyrl-RS"/>
        </w:rPr>
      </w:pPr>
      <w:r w:rsidRPr="00BC3349">
        <w:rPr>
          <w:rFonts w:eastAsia="Times New Roman" w:cs="Times New Roman"/>
          <w:sz w:val="24"/>
          <w:szCs w:val="24"/>
          <w:lang w:val="uz-Cyrl-UZ"/>
        </w:rPr>
        <w:t xml:space="preserve">Обавезе високошколске установе у погледу начина организовања и времена одржавања облика студија </w:t>
      </w:r>
      <w:r w:rsidRPr="008256FD">
        <w:rPr>
          <w:rFonts w:eastAsia="Times New Roman" w:cs="Times New Roman"/>
          <w:sz w:val="24"/>
          <w:szCs w:val="24"/>
          <w:lang w:val="sr-Cyrl-RS"/>
        </w:rPr>
        <w:t xml:space="preserve">уређују се општим актом високошколске установе, као и обавеза да у складу са својим могућностима високошколска установа обезбеди услове за студенте са инвалидитетом. </w:t>
      </w:r>
    </w:p>
    <w:p w14:paraId="4FFD5B1F" w14:textId="77777777" w:rsidR="00E778B5" w:rsidRPr="008256FD" w:rsidRDefault="00E778B5"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Високошколска установа дужна је да организује предавања и друге облике наставе за све студенте, изузев код остваривања студијског програма на даљину. </w:t>
      </w:r>
    </w:p>
    <w:p w14:paraId="459D9106" w14:textId="77777777" w:rsidR="00E778B5" w:rsidRPr="008256FD" w:rsidRDefault="00E778B5"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Настава се организује и изводи у седишту високошколске установе, односно у објектима наведеним у дозволи за рад. </w:t>
      </w:r>
    </w:p>
    <w:p w14:paraId="48D16813" w14:textId="77777777" w:rsidR="00E778B5" w:rsidRPr="008256FD" w:rsidRDefault="00E778B5"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Високошколска установа може да организује део наставе и ван седишта, ако се ради о настави из предмета чији карактер то захтева, а у складу са акредитацијом. </w:t>
      </w:r>
    </w:p>
    <w:p w14:paraId="24927307" w14:textId="77777777" w:rsidR="00E778B5" w:rsidRPr="008256FD" w:rsidRDefault="00E778B5" w:rsidP="001C2478">
      <w:pPr>
        <w:spacing w:before="0"/>
        <w:rPr>
          <w:rFonts w:eastAsia="Times New Roman" w:cs="Times New Roman"/>
          <w:sz w:val="24"/>
          <w:szCs w:val="24"/>
          <w:lang w:val="sr-Cyrl-RS"/>
        </w:rPr>
      </w:pPr>
      <w:r w:rsidRPr="008256FD">
        <w:rPr>
          <w:rFonts w:eastAsia="Times New Roman" w:cs="Times New Roman"/>
          <w:sz w:val="24"/>
          <w:szCs w:val="24"/>
          <w:lang w:val="sr-Cyrl-RS"/>
        </w:rPr>
        <w:t>У оквиру основних и мастер студија високошколска установа може организовати студентску праксу, као део студијског програма или кроз ваннаставне активности.</w:t>
      </w:r>
    </w:p>
    <w:p w14:paraId="21538A05" w14:textId="77777777" w:rsidR="00E778B5" w:rsidRPr="008256FD" w:rsidRDefault="00E778B5" w:rsidP="001C2478">
      <w:pPr>
        <w:spacing w:before="0"/>
        <w:rPr>
          <w:rFonts w:eastAsia="Times New Roman" w:cs="Times New Roman"/>
          <w:b/>
          <w:sz w:val="24"/>
          <w:szCs w:val="24"/>
          <w:lang w:val="sr-Cyrl-RS"/>
        </w:rPr>
      </w:pPr>
      <w:r w:rsidRPr="008256FD">
        <w:rPr>
          <w:rFonts w:eastAsia="Times New Roman" w:cs="Times New Roman"/>
          <w:b/>
          <w:sz w:val="24"/>
          <w:szCs w:val="24"/>
          <w:lang w:val="sr-Cyrl-RS"/>
        </w:rPr>
        <w:t>Високошколска установа може да организује студије уз рад за студенте који су запослени или који из другог разлога нису у могућности да редовно прате наставу.</w:t>
      </w:r>
    </w:p>
    <w:p w14:paraId="1CE29751" w14:textId="77777777" w:rsidR="00E778B5" w:rsidRPr="008256FD" w:rsidRDefault="00E778B5"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Ближи услови и начини остваривања студијског програма на даљину уређују се општим актом високошколске установе. </w:t>
      </w:r>
    </w:p>
    <w:p w14:paraId="3BD3CC6D" w14:textId="77777777" w:rsidR="00E778B5" w:rsidRPr="008256FD" w:rsidRDefault="00E778B5"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Високошколска установа је дужна да у складу са својим општим актом, на одговарајући начин, тачно и благовремено информише студенте о начину, времену и месту одржавања наставе, циљевима, методама и садржајима наставе, о садржајима, методама, критеријумима и мерилима испитивања, о начину обезбеђивања јавности на испиту и начину остваривања увида у резултате, као и о другим питањима од значаја за студенте. </w:t>
      </w:r>
    </w:p>
    <w:p w14:paraId="47564ECF" w14:textId="77777777" w:rsidR="00DF31AD" w:rsidRPr="000D2F1C" w:rsidRDefault="00DF31AD" w:rsidP="001C2478">
      <w:pPr>
        <w:spacing w:before="0"/>
        <w:rPr>
          <w:rFonts w:cs="Times New Roman"/>
          <w:sz w:val="24"/>
          <w:szCs w:val="24"/>
          <w:lang w:val="sr-Cyrl-RS"/>
        </w:rPr>
      </w:pPr>
      <w:r w:rsidRPr="00BC3349">
        <w:rPr>
          <w:rFonts w:cs="Times New Roman"/>
          <w:sz w:val="24"/>
          <w:szCs w:val="24"/>
          <w:lang w:val="en-GB"/>
        </w:rPr>
        <w:t> </w:t>
      </w:r>
    </w:p>
    <w:p w14:paraId="551A338A" w14:textId="77777777" w:rsidR="00DE0A08" w:rsidRPr="008256FD" w:rsidRDefault="00DE0A08" w:rsidP="001C2478">
      <w:pPr>
        <w:spacing w:before="0"/>
        <w:rPr>
          <w:rFonts w:cs="Times New Roman"/>
          <w:sz w:val="24"/>
          <w:szCs w:val="24"/>
          <w:lang w:val="sr-Cyrl-RS"/>
        </w:rPr>
      </w:pPr>
    </w:p>
    <w:p w14:paraId="693814E4" w14:textId="77777777" w:rsidR="00A507FC" w:rsidRPr="001C2478" w:rsidRDefault="00A507FC" w:rsidP="001C2478">
      <w:pPr>
        <w:spacing w:before="0"/>
        <w:jc w:val="center"/>
        <w:rPr>
          <w:rFonts w:eastAsia="Times New Roman" w:cs="Times New Roman"/>
          <w:b/>
          <w:sz w:val="24"/>
          <w:szCs w:val="24"/>
          <w:lang w:val="sr-Cyrl-RS"/>
        </w:rPr>
      </w:pPr>
      <w:r w:rsidRPr="001C2478">
        <w:rPr>
          <w:rFonts w:eastAsia="Times New Roman" w:cs="Times New Roman"/>
          <w:b/>
          <w:sz w:val="24"/>
          <w:szCs w:val="24"/>
          <w:lang w:val="sr-Cyrl-RS"/>
        </w:rPr>
        <w:t>Правила студија</w:t>
      </w:r>
    </w:p>
    <w:p w14:paraId="27864DEA" w14:textId="77777777" w:rsidR="00A507FC" w:rsidRPr="001C2478" w:rsidRDefault="00A507FC" w:rsidP="001C2478">
      <w:pPr>
        <w:spacing w:before="0"/>
        <w:jc w:val="center"/>
        <w:rPr>
          <w:rFonts w:eastAsia="Times New Roman" w:cs="Times New Roman"/>
          <w:b/>
          <w:sz w:val="24"/>
          <w:szCs w:val="24"/>
          <w:lang w:val="sr-Cyrl-RS"/>
        </w:rPr>
      </w:pPr>
      <w:r w:rsidRPr="001C2478">
        <w:rPr>
          <w:rFonts w:eastAsia="Times New Roman" w:cs="Times New Roman"/>
          <w:b/>
          <w:sz w:val="24"/>
          <w:szCs w:val="24"/>
          <w:lang w:val="sr-Cyrl-RS"/>
        </w:rPr>
        <w:t>Члан 102.</w:t>
      </w:r>
    </w:p>
    <w:p w14:paraId="6667D0BD" w14:textId="77777777" w:rsidR="00A507FC" w:rsidRPr="008256FD" w:rsidRDefault="00A507FC"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При упису сваке школске године студент се опредељује за предмете из студијског програма. </w:t>
      </w:r>
    </w:p>
    <w:p w14:paraId="37BFCE7C" w14:textId="77777777" w:rsidR="00A507FC" w:rsidRPr="008256FD" w:rsidRDefault="00A507FC" w:rsidP="001C2478">
      <w:pPr>
        <w:spacing w:before="0"/>
        <w:rPr>
          <w:rFonts w:eastAsia="Times New Roman" w:cs="Times New Roman"/>
          <w:sz w:val="24"/>
          <w:szCs w:val="24"/>
          <w:lang w:val="sr-Cyrl-RS"/>
        </w:rPr>
      </w:pPr>
      <w:r w:rsidRPr="008256FD">
        <w:rPr>
          <w:rFonts w:eastAsia="Times New Roman" w:cs="Times New Roman"/>
          <w:sz w:val="24"/>
          <w:szCs w:val="24"/>
          <w:lang w:val="sr-Cyrl-RS"/>
        </w:rPr>
        <w:t>Студијским програмом се прописује који су предмети обавезни за одређену годину студи</w:t>
      </w:r>
      <w:r w:rsidRPr="00BC3349">
        <w:rPr>
          <w:rFonts w:eastAsia="Times New Roman" w:cs="Times New Roman"/>
          <w:sz w:val="24"/>
          <w:szCs w:val="24"/>
        </w:rPr>
        <w:t>ja</w:t>
      </w:r>
      <w:r w:rsidRPr="008256FD">
        <w:rPr>
          <w:rFonts w:eastAsia="Times New Roman" w:cs="Times New Roman"/>
          <w:sz w:val="24"/>
          <w:szCs w:val="24"/>
          <w:lang w:val="sr-Cyrl-RS"/>
        </w:rPr>
        <w:t xml:space="preserve">. </w:t>
      </w:r>
    </w:p>
    <w:p w14:paraId="54612D22" w14:textId="77777777" w:rsidR="00A507FC" w:rsidRPr="008256FD" w:rsidRDefault="00A507FC"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Студент који се финансира из буџета, при упису одговарајуће године студија, опредељује се за онолико предмета колико је потребно да се оствари најмање 60 ЕСПБ бодова, осим ако му је до краја студијског програма остало мање од 60 ЕСПБ бодова. </w:t>
      </w:r>
    </w:p>
    <w:p w14:paraId="2F0D5322" w14:textId="77777777" w:rsidR="00A507FC" w:rsidRPr="008256FD" w:rsidRDefault="00A507FC" w:rsidP="001C2478">
      <w:pPr>
        <w:spacing w:before="0"/>
        <w:rPr>
          <w:rFonts w:eastAsia="Times New Roman" w:cs="Times New Roman"/>
          <w:sz w:val="24"/>
          <w:szCs w:val="24"/>
          <w:lang w:val="sr-Cyrl-RS"/>
        </w:rPr>
      </w:pPr>
      <w:r w:rsidRPr="008256FD">
        <w:rPr>
          <w:rFonts w:eastAsia="Times New Roman" w:cs="Times New Roman"/>
          <w:sz w:val="24"/>
          <w:szCs w:val="24"/>
          <w:lang w:val="sr-Cyrl-RS"/>
        </w:rPr>
        <w:t xml:space="preserve">Студент који се сам финансира, при упису одговарајуће године студија, опредељује се, у складу са студијским програмом, за онолико предмета колико је потребно да се оствари </w:t>
      </w:r>
      <w:r w:rsidRPr="008256FD">
        <w:rPr>
          <w:rFonts w:eastAsia="Times New Roman" w:cs="Times New Roman"/>
          <w:sz w:val="24"/>
          <w:szCs w:val="24"/>
          <w:lang w:val="sr-Cyrl-RS"/>
        </w:rPr>
        <w:lastRenderedPageBreak/>
        <w:t xml:space="preserve">најмање 37 ЕСПБ бодова, осим ако му је до краја студијског програма остало мање од 37 ЕСПБ бодова. </w:t>
      </w:r>
    </w:p>
    <w:p w14:paraId="2D3B1AC4" w14:textId="77777777" w:rsidR="00A507FC" w:rsidRPr="008256FD" w:rsidRDefault="00A507FC" w:rsidP="001C2478">
      <w:pPr>
        <w:spacing w:before="0"/>
        <w:rPr>
          <w:rFonts w:eastAsia="Times New Roman" w:cs="Times New Roman"/>
          <w:b/>
          <w:sz w:val="24"/>
          <w:szCs w:val="24"/>
          <w:lang w:val="sr-Cyrl-RS"/>
        </w:rPr>
      </w:pPr>
      <w:r w:rsidRPr="008256FD">
        <w:rPr>
          <w:rFonts w:eastAsia="Times New Roman" w:cs="Times New Roman"/>
          <w:b/>
          <w:sz w:val="24"/>
          <w:szCs w:val="24"/>
          <w:lang w:val="sr-Cyrl-RS"/>
        </w:rPr>
        <w:t>Студент који студира уз рад при упису одговарајуће године студија опредељује се, у складу са студијским програмом, за онолико предмета колико је потребно да се оствари најмање 30 ЕСПБ бодова, осим ако му је до краја студијског програма остало мање од 30 ЕСПБ бодова.</w:t>
      </w:r>
    </w:p>
    <w:p w14:paraId="4F7E9BC2" w14:textId="77777777" w:rsidR="00A507FC" w:rsidRPr="008256FD" w:rsidRDefault="00A507FC" w:rsidP="001C2478">
      <w:pPr>
        <w:spacing w:before="0"/>
        <w:rPr>
          <w:rFonts w:eastAsia="Times New Roman" w:cs="Times New Roman"/>
          <w:b/>
          <w:sz w:val="24"/>
          <w:szCs w:val="24"/>
          <w:lang w:val="sr-Cyrl-RS"/>
        </w:rPr>
      </w:pPr>
      <w:r w:rsidRPr="008256FD">
        <w:rPr>
          <w:rFonts w:eastAsia="Times New Roman" w:cs="Times New Roman"/>
          <w:b/>
          <w:sz w:val="24"/>
          <w:szCs w:val="24"/>
          <w:lang w:val="sr-Cyrl-RS"/>
        </w:rPr>
        <w:t xml:space="preserve">Високошколска установа општим актом утврђује услове за упис наредне године студија. </w:t>
      </w:r>
    </w:p>
    <w:p w14:paraId="472A310D"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Студент из ст. 4. и 5. овог члана који се сам финансира, плаћа део школарине обрачунат сразмерно броју ЕСПБ бодова за предмете за које се определио. </w:t>
      </w:r>
    </w:p>
    <w:p w14:paraId="38A895D1"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Полагањем испита студент стиче одређени број ЕСПБ бодова у складу са студијским програмом. </w:t>
      </w:r>
    </w:p>
    <w:p w14:paraId="36884174"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Студент који не положи испит из обавезног предмета до почетка наредне школске године, уписује исти предмет. </w:t>
      </w:r>
    </w:p>
    <w:p w14:paraId="2443C068"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Студент који не положи изборни предмет, може поново уписати исти или се определити за други изборни предмет. </w:t>
      </w:r>
    </w:p>
    <w:p w14:paraId="56391146"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Студијским програмом може се условити опредељивање студента за одређени предмет претходно положеним испитима из једног или више предмета утврђених студијским програмом. </w:t>
      </w:r>
    </w:p>
    <w:p w14:paraId="66588CCF"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Правила студија ближе се уређују општим актом високошколске установе. </w:t>
      </w:r>
    </w:p>
    <w:p w14:paraId="6E1ECDFE" w14:textId="77777777" w:rsidR="00A507FC" w:rsidRPr="00E167F9" w:rsidRDefault="00A507FC" w:rsidP="001C2478">
      <w:pPr>
        <w:spacing w:before="0"/>
        <w:rPr>
          <w:rFonts w:eastAsia="Times New Roman" w:cs="Times New Roman"/>
          <w:sz w:val="24"/>
          <w:szCs w:val="24"/>
          <w:lang w:val="sr-Cyrl-RS"/>
        </w:rPr>
      </w:pPr>
    </w:p>
    <w:p w14:paraId="2ED17F96" w14:textId="77777777" w:rsidR="00DE0A08" w:rsidRDefault="00DE0A08" w:rsidP="001C2478">
      <w:pPr>
        <w:spacing w:before="0"/>
        <w:jc w:val="center"/>
        <w:rPr>
          <w:rFonts w:eastAsia="Times New Roman" w:cs="Times New Roman"/>
          <w:b/>
          <w:sz w:val="24"/>
          <w:szCs w:val="24"/>
          <w:lang w:val="sr-Cyrl-RS"/>
        </w:rPr>
      </w:pPr>
    </w:p>
    <w:p w14:paraId="36187024" w14:textId="77777777" w:rsidR="00A507FC" w:rsidRPr="001C2478" w:rsidRDefault="00A507FC" w:rsidP="001C2478">
      <w:pPr>
        <w:spacing w:before="0"/>
        <w:jc w:val="center"/>
        <w:rPr>
          <w:rFonts w:eastAsia="Times New Roman" w:cs="Times New Roman"/>
          <w:b/>
          <w:sz w:val="24"/>
          <w:szCs w:val="24"/>
          <w:lang w:val="sr-Cyrl-RS"/>
        </w:rPr>
      </w:pPr>
      <w:r w:rsidRPr="001C2478">
        <w:rPr>
          <w:rFonts w:eastAsia="Times New Roman" w:cs="Times New Roman"/>
          <w:b/>
          <w:sz w:val="24"/>
          <w:szCs w:val="24"/>
          <w:lang w:val="sr-Cyrl-RS"/>
        </w:rPr>
        <w:t>Престанак статуса студента</w:t>
      </w:r>
    </w:p>
    <w:p w14:paraId="6292D5F7" w14:textId="77777777" w:rsidR="00A507FC" w:rsidRPr="001C2478" w:rsidRDefault="00A507FC" w:rsidP="001C2478">
      <w:pPr>
        <w:spacing w:before="0"/>
        <w:jc w:val="center"/>
        <w:rPr>
          <w:rFonts w:eastAsia="Times New Roman" w:cs="Times New Roman"/>
          <w:b/>
          <w:sz w:val="24"/>
          <w:szCs w:val="24"/>
          <w:lang w:val="sr-Cyrl-RS"/>
        </w:rPr>
      </w:pPr>
      <w:r w:rsidRPr="001C2478">
        <w:rPr>
          <w:rFonts w:eastAsia="Times New Roman" w:cs="Times New Roman"/>
          <w:b/>
          <w:sz w:val="24"/>
          <w:szCs w:val="24"/>
          <w:lang w:val="sr-Cyrl-RS"/>
        </w:rPr>
        <w:t>Члан 109.</w:t>
      </w:r>
    </w:p>
    <w:p w14:paraId="36274A1C" w14:textId="77777777" w:rsidR="00A507FC" w:rsidRPr="00E167F9" w:rsidRDefault="00A507FC"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Статус студента престаје у случају: </w:t>
      </w:r>
    </w:p>
    <w:p w14:paraId="1C52E4CC"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sz w:val="24"/>
          <w:szCs w:val="24"/>
          <w:lang w:val="sr-Cyrl-RS"/>
        </w:rPr>
        <w:t xml:space="preserve">1) исписивања са студија; </w:t>
      </w:r>
    </w:p>
    <w:p w14:paraId="33202AAB"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sz w:val="24"/>
          <w:szCs w:val="24"/>
          <w:lang w:val="sr-Cyrl-RS"/>
        </w:rPr>
        <w:t xml:space="preserve">2) завршетка студија; </w:t>
      </w:r>
    </w:p>
    <w:p w14:paraId="7411C3AD"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sz w:val="24"/>
          <w:szCs w:val="24"/>
          <w:lang w:val="sr-Cyrl-RS"/>
        </w:rPr>
        <w:t xml:space="preserve">3) неуписивања школске године; </w:t>
      </w:r>
    </w:p>
    <w:p w14:paraId="688CB0B7"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sz w:val="24"/>
          <w:szCs w:val="24"/>
          <w:lang w:val="sr-Cyrl-RS"/>
        </w:rPr>
        <w:t>4) кад не заврши студије до истека рока који се одређује у двоструком броју школских година потребних за реализацију студијског програма, осим у случају студија уз рад;</w:t>
      </w:r>
    </w:p>
    <w:p w14:paraId="786459D5"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sz w:val="24"/>
          <w:szCs w:val="24"/>
          <w:lang w:val="sr-Cyrl-RS"/>
        </w:rPr>
        <w:t xml:space="preserve">5) изрицања дисциплинске мере искључења са студија на високошколској установи. </w:t>
      </w:r>
    </w:p>
    <w:p w14:paraId="3CD73C29"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b/>
          <w:sz w:val="24"/>
          <w:szCs w:val="24"/>
          <w:lang w:val="sr-Cyrl-RS"/>
        </w:rPr>
        <w:t>Студент који студира уз рад,</w:t>
      </w:r>
      <w:r w:rsidRPr="00DE0A08">
        <w:rPr>
          <w:rFonts w:eastAsia="Times New Roman" w:cs="Times New Roman"/>
          <w:sz w:val="24"/>
          <w:szCs w:val="24"/>
          <w:lang w:val="sr-Cyrl-RS"/>
        </w:rPr>
        <w:t xml:space="preserve"> студент са инвалидитетом, студент који је уписан на студије по афирмативној мери и студент који има статус категорисаног врхунског спортисте </w:t>
      </w:r>
      <w:r w:rsidRPr="00DE0A08">
        <w:rPr>
          <w:rFonts w:eastAsia="Times New Roman" w:cs="Times New Roman"/>
          <w:b/>
          <w:sz w:val="24"/>
          <w:szCs w:val="24"/>
          <w:lang w:val="sr-Cyrl-RS"/>
        </w:rPr>
        <w:t>задржава статус студента до истека рока који се одређује у троструком броју школских година потребних за реализацију студијског програма</w:t>
      </w:r>
      <w:r w:rsidRPr="00DE0A08">
        <w:rPr>
          <w:rFonts w:eastAsia="Times New Roman" w:cs="Times New Roman"/>
          <w:sz w:val="24"/>
          <w:szCs w:val="24"/>
          <w:lang w:val="sr-Cyrl-RS"/>
        </w:rPr>
        <w:t>.</w:t>
      </w:r>
    </w:p>
    <w:p w14:paraId="282BCD6F" w14:textId="77777777" w:rsidR="00A507FC" w:rsidRPr="00DE0A08" w:rsidRDefault="00A507FC" w:rsidP="001C2478">
      <w:pPr>
        <w:spacing w:before="0"/>
        <w:rPr>
          <w:rFonts w:eastAsia="Times New Roman" w:cs="Times New Roman"/>
          <w:sz w:val="24"/>
          <w:szCs w:val="24"/>
          <w:lang w:val="sr-Cyrl-RS"/>
        </w:rPr>
      </w:pPr>
      <w:r w:rsidRPr="00DE0A08">
        <w:rPr>
          <w:rFonts w:eastAsia="Times New Roman" w:cs="Times New Roman"/>
          <w:sz w:val="24"/>
          <w:szCs w:val="24"/>
          <w:lang w:val="sr-Cyrl-RS"/>
        </w:rPr>
        <w:t xml:space="preserve">Студенту се, на лични захтев, може продужити рок за завршетак студија, у складу са општим актом високошколске установе. </w:t>
      </w:r>
    </w:p>
    <w:p w14:paraId="3374DB50" w14:textId="77777777" w:rsidR="00CE1A29" w:rsidRDefault="00CE1A29" w:rsidP="001C2478">
      <w:pPr>
        <w:spacing w:before="0"/>
        <w:rPr>
          <w:rFonts w:cs="Times New Roman"/>
          <w:sz w:val="24"/>
          <w:szCs w:val="24"/>
          <w:lang w:val="sr-Cyrl-RS"/>
        </w:rPr>
      </w:pPr>
    </w:p>
    <w:p w14:paraId="5C140A7C" w14:textId="77777777" w:rsidR="00962569" w:rsidRDefault="00962569" w:rsidP="001C2478">
      <w:pPr>
        <w:spacing w:before="0"/>
        <w:rPr>
          <w:rFonts w:cs="Times New Roman"/>
          <w:sz w:val="24"/>
          <w:szCs w:val="24"/>
          <w:lang w:val="sr-Cyrl-RS"/>
        </w:rPr>
      </w:pPr>
    </w:p>
    <w:p w14:paraId="07E319E2" w14:textId="77777777" w:rsidR="00962569" w:rsidRDefault="00962569" w:rsidP="001C2478">
      <w:pPr>
        <w:spacing w:before="0"/>
        <w:rPr>
          <w:rFonts w:cs="Times New Roman"/>
          <w:sz w:val="24"/>
          <w:szCs w:val="24"/>
          <w:lang w:val="sr-Cyrl-RS"/>
        </w:rPr>
      </w:pPr>
    </w:p>
    <w:p w14:paraId="2E64969E" w14:textId="77777777" w:rsidR="00962569" w:rsidRPr="00DE0A08" w:rsidRDefault="00962569" w:rsidP="001C2478">
      <w:pPr>
        <w:spacing w:before="0"/>
        <w:rPr>
          <w:rFonts w:cs="Times New Roman"/>
          <w:sz w:val="24"/>
          <w:szCs w:val="24"/>
          <w:lang w:val="sr-Cyrl-RS"/>
        </w:rPr>
      </w:pPr>
    </w:p>
    <w:p w14:paraId="250E6A8D" w14:textId="77777777" w:rsidR="001C2478" w:rsidRPr="00DE0A08" w:rsidRDefault="001C2478" w:rsidP="001C2478">
      <w:pPr>
        <w:spacing w:before="0"/>
        <w:rPr>
          <w:rFonts w:cs="Times New Roman"/>
          <w:sz w:val="24"/>
          <w:szCs w:val="24"/>
          <w:lang w:val="sr-Cyrl-RS"/>
        </w:rPr>
      </w:pPr>
    </w:p>
    <w:p w14:paraId="023454C7" w14:textId="4B034D0C" w:rsidR="009B2E13" w:rsidRPr="00962569" w:rsidRDefault="00BC3937" w:rsidP="00962569">
      <w:pPr>
        <w:pStyle w:val="ListParagraph"/>
        <w:numPr>
          <w:ilvl w:val="0"/>
          <w:numId w:val="15"/>
        </w:numPr>
        <w:spacing w:before="0"/>
        <w:rPr>
          <w:rFonts w:ascii="Times New Roman" w:hAnsi="Times New Roman" w:cs="Times New Roman"/>
          <w:caps/>
          <w:lang w:val="sr-Cyrl-RS"/>
        </w:rPr>
      </w:pPr>
      <w:r w:rsidRPr="00123BD6">
        <w:rPr>
          <w:rFonts w:ascii="Times New Roman" w:hAnsi="Times New Roman" w:cs="Times New Roman"/>
          <w:bCs/>
          <w:caps/>
          <w:lang w:val="sr-Cyrl-RS"/>
        </w:rPr>
        <w:lastRenderedPageBreak/>
        <w:t xml:space="preserve">Изводи који се односе на кратке програме студија </w:t>
      </w:r>
      <w:r w:rsidR="00BC3349" w:rsidRPr="00123BD6">
        <w:rPr>
          <w:rFonts w:ascii="Times New Roman" w:hAnsi="Times New Roman" w:cs="Times New Roman"/>
          <w:bCs/>
          <w:caps/>
          <w:lang w:val="sr-Cyrl-RS"/>
        </w:rPr>
        <w:t xml:space="preserve"> </w:t>
      </w:r>
    </w:p>
    <w:p w14:paraId="51386A77" w14:textId="77777777" w:rsidR="00DE0A08" w:rsidRPr="00BC3349" w:rsidRDefault="00DE0A08" w:rsidP="001C2478">
      <w:pPr>
        <w:pStyle w:val="ListParagraph"/>
        <w:spacing w:before="0"/>
        <w:ind w:left="360"/>
        <w:rPr>
          <w:rFonts w:ascii="Times New Roman" w:hAnsi="Times New Roman" w:cs="Times New Roman"/>
          <w:lang w:val="sr-Cyrl-RS"/>
        </w:rPr>
      </w:pPr>
    </w:p>
    <w:p w14:paraId="7C594094" w14:textId="77777777" w:rsidR="005B766E" w:rsidRPr="00BA6F55" w:rsidRDefault="005B766E" w:rsidP="001C2478">
      <w:pPr>
        <w:spacing w:before="0"/>
        <w:ind w:firstLine="706"/>
        <w:jc w:val="center"/>
        <w:rPr>
          <w:rFonts w:eastAsia="Times New Roman" w:cs="Times New Roman"/>
          <w:b/>
          <w:sz w:val="24"/>
          <w:szCs w:val="24"/>
          <w:lang w:val="sr-Cyrl-RS"/>
        </w:rPr>
      </w:pPr>
      <w:r w:rsidRPr="00BA6F55">
        <w:rPr>
          <w:rFonts w:eastAsia="Times New Roman" w:cs="Times New Roman"/>
          <w:b/>
          <w:sz w:val="24"/>
          <w:szCs w:val="24"/>
          <w:lang w:val="sr-Cyrl-RS"/>
        </w:rPr>
        <w:t>Надлежност Националног савета</w:t>
      </w:r>
    </w:p>
    <w:p w14:paraId="070F5672" w14:textId="77777777" w:rsidR="005B766E" w:rsidRPr="00BA6F55" w:rsidRDefault="005B766E" w:rsidP="001C2478">
      <w:pPr>
        <w:spacing w:before="0"/>
        <w:ind w:firstLine="706"/>
        <w:jc w:val="center"/>
        <w:rPr>
          <w:rFonts w:eastAsia="Times New Roman" w:cs="Times New Roman"/>
          <w:b/>
          <w:sz w:val="24"/>
          <w:szCs w:val="24"/>
          <w:lang w:val="sr-Cyrl-RS"/>
        </w:rPr>
      </w:pPr>
      <w:r w:rsidRPr="00BA6F55">
        <w:rPr>
          <w:rFonts w:eastAsia="Times New Roman" w:cs="Times New Roman"/>
          <w:b/>
          <w:sz w:val="24"/>
          <w:szCs w:val="24"/>
          <w:lang w:val="sr-Cyrl-RS"/>
        </w:rPr>
        <w:t>Члан 12.</w:t>
      </w:r>
    </w:p>
    <w:p w14:paraId="7273FD72" w14:textId="77777777" w:rsidR="005B766E" w:rsidRPr="008256FD" w:rsidRDefault="005B766E" w:rsidP="001C2478">
      <w:pPr>
        <w:spacing w:before="0"/>
        <w:rPr>
          <w:rFonts w:eastAsia="Times New Roman" w:cs="Times New Roman"/>
          <w:sz w:val="24"/>
          <w:szCs w:val="24"/>
          <w:lang w:val="sr-Cyrl-RS"/>
        </w:rPr>
      </w:pPr>
      <w:r w:rsidRPr="008256FD">
        <w:rPr>
          <w:rFonts w:eastAsia="Times New Roman" w:cs="Times New Roman"/>
          <w:sz w:val="24"/>
          <w:szCs w:val="24"/>
          <w:lang w:val="sr-Cyrl-RS"/>
        </w:rPr>
        <w:t>Национални савет:</w:t>
      </w:r>
    </w:p>
    <w:p w14:paraId="66CEFACB"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 прати развој високог образовања и његову усклађеност са европским и међународним стандардима;</w:t>
      </w:r>
    </w:p>
    <w:p w14:paraId="2D782BAB"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2) предлаже министарству надлежном за послове високог образовања (у даљем тексту: Министарство) мере за унапређивање система високог образовања;</w:t>
      </w:r>
    </w:p>
    <w:p w14:paraId="76300480"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3) даје мишљење о политици уписа на високошколске установе;</w:t>
      </w:r>
    </w:p>
    <w:p w14:paraId="2B29AA59"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4) даје мишљење у поступку доношења прописа којима се уређују питања од значаја за делатност високог образовања;</w:t>
      </w:r>
    </w:p>
    <w:p w14:paraId="7878D7F1"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5) предлаже Влади нормативе и стандарде рада високошколских установа, као и материјална средства за њихово остваривање, по прибављеном мишљењу Конференције универзитета и Конференције академија и високих школа;</w:t>
      </w:r>
    </w:p>
    <w:p w14:paraId="4F0140EB"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6) одлучује у другом степену по жалбама у поступку акредитације, на основу предлога жалбене комисије, коју образује за сваку појединачну жалбу;</w:t>
      </w:r>
    </w:p>
    <w:p w14:paraId="7E2467AF" w14:textId="77777777" w:rsidR="005B766E" w:rsidRPr="00E167F9" w:rsidRDefault="005B766E" w:rsidP="001C2478">
      <w:pPr>
        <w:spacing w:before="0"/>
        <w:rPr>
          <w:rFonts w:eastAsia="Times New Roman" w:cs="Times New Roman"/>
          <w:b/>
          <w:sz w:val="24"/>
          <w:szCs w:val="24"/>
          <w:lang w:val="sr-Cyrl-RS"/>
        </w:rPr>
      </w:pPr>
      <w:r w:rsidRPr="00E167F9">
        <w:rPr>
          <w:rFonts w:eastAsia="Times New Roman" w:cs="Times New Roman"/>
          <w:b/>
          <w:sz w:val="24"/>
          <w:szCs w:val="24"/>
          <w:lang w:val="sr-Cyrl-RS"/>
        </w:rPr>
        <w:t>7) утврђује смернице у вези са организацијом, спровођењем кратког програма студија и издавањем одговарајућег сертификата;</w:t>
      </w:r>
    </w:p>
    <w:p w14:paraId="55AAAF7E"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8) утврђује научне, уметничке, односно стручне области у оквиру поља из члана 37. овог закона, на предлог Конференције универзитета и Конференције академија и високих школа; </w:t>
      </w:r>
    </w:p>
    <w:p w14:paraId="101B45A0"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9) утврђује листу стручних, академских, научних, односно уметничких назива са назнаком звања одговарајућег степена студија из одговарајућих области и скраћенице стручних, академских, научних, односно уметничких назива двојезично, на српском и енглеском језику; </w:t>
      </w:r>
    </w:p>
    <w:p w14:paraId="014ABE3B"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10) утврђује стандарде за самовредновање и оцењивање квалитета високошколских установа на предлог Националног акредитационог тела; </w:t>
      </w:r>
    </w:p>
    <w:p w14:paraId="2B708C44"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11) утврђује стандарде за спољашњу проверу квалитета високошколских установа на предлог Националног акредитационог тела;</w:t>
      </w:r>
    </w:p>
    <w:p w14:paraId="17C1D457"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12) утврђује стандарде за почетну акредитацију на предлог Националног акредитационог тела;</w:t>
      </w:r>
    </w:p>
    <w:p w14:paraId="01FBBF1A"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13) утврђује стандарде и поступак за акредитацију високошколских установа на предлог Националног акредитационог тела;</w:t>
      </w:r>
    </w:p>
    <w:p w14:paraId="31DEE7BB"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14) утврђује стандарде и поступак за акредитацију студијских програма на предлог Националног акредитационог тела;</w:t>
      </w:r>
    </w:p>
    <w:p w14:paraId="4F6CB143"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15) утврђује минималне услове за избор у звања наставника, на предлог Конференције универзитета, односно Конференције академија и високих школа;</w:t>
      </w:r>
    </w:p>
    <w:p w14:paraId="17D932A5"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16) доноси Основе за кодекс о академском интегритету и сукобу интереса приликом избора у звање наставника, односно сарадника и заснивања радног односа на високошколским установама у Републици Србији;</w:t>
      </w:r>
    </w:p>
    <w:p w14:paraId="027890E7"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17) утврђује листу рецензената;</w:t>
      </w:r>
    </w:p>
    <w:p w14:paraId="64347266" w14:textId="58AF96A8" w:rsidR="00DF31AD" w:rsidRPr="00962569" w:rsidRDefault="005B766E" w:rsidP="00962569">
      <w:pPr>
        <w:spacing w:before="0"/>
        <w:rPr>
          <w:rFonts w:eastAsia="Times New Roman" w:cs="Times New Roman"/>
          <w:sz w:val="24"/>
          <w:szCs w:val="24"/>
          <w:lang w:val="sr-Cyrl-RS"/>
        </w:rPr>
      </w:pPr>
      <w:r w:rsidRPr="00E167F9">
        <w:rPr>
          <w:rFonts w:eastAsia="Times New Roman" w:cs="Times New Roman"/>
          <w:sz w:val="24"/>
          <w:szCs w:val="24"/>
          <w:lang w:val="sr-Cyrl-RS"/>
        </w:rPr>
        <w:t>18) обавља и друге послове у складу са законом.</w:t>
      </w:r>
    </w:p>
    <w:p w14:paraId="4B159E0D" w14:textId="77777777" w:rsidR="00DE0A08" w:rsidRDefault="00DE0A08" w:rsidP="001C2478">
      <w:pPr>
        <w:spacing w:before="0"/>
        <w:ind w:firstLine="706"/>
        <w:jc w:val="center"/>
        <w:rPr>
          <w:rFonts w:eastAsia="Times New Roman" w:cs="Times New Roman"/>
          <w:b/>
          <w:sz w:val="24"/>
          <w:szCs w:val="24"/>
          <w:lang w:val="sr-Cyrl-RS"/>
        </w:rPr>
      </w:pPr>
    </w:p>
    <w:p w14:paraId="175D4140" w14:textId="77777777" w:rsidR="005B766E" w:rsidRPr="00BA6F55" w:rsidRDefault="005B766E" w:rsidP="001C2478">
      <w:pPr>
        <w:spacing w:before="0"/>
        <w:ind w:firstLine="706"/>
        <w:jc w:val="center"/>
        <w:rPr>
          <w:rFonts w:eastAsia="Times New Roman" w:cs="Times New Roman"/>
          <w:b/>
          <w:sz w:val="24"/>
          <w:szCs w:val="24"/>
          <w:lang w:val="sr-Cyrl-RS"/>
        </w:rPr>
      </w:pPr>
      <w:r w:rsidRPr="00BA6F55">
        <w:rPr>
          <w:rFonts w:eastAsia="Times New Roman" w:cs="Times New Roman"/>
          <w:b/>
          <w:sz w:val="24"/>
          <w:szCs w:val="24"/>
          <w:lang w:val="sr-Cyrl-RS"/>
        </w:rPr>
        <w:t>Врсте студија</w:t>
      </w:r>
    </w:p>
    <w:p w14:paraId="6F9CF6A2" w14:textId="77777777" w:rsidR="005B766E" w:rsidRPr="00BA6F55" w:rsidRDefault="005B766E" w:rsidP="001C2478">
      <w:pPr>
        <w:spacing w:before="0"/>
        <w:ind w:firstLine="706"/>
        <w:jc w:val="center"/>
        <w:rPr>
          <w:rFonts w:eastAsia="Times New Roman" w:cs="Times New Roman"/>
          <w:b/>
          <w:sz w:val="24"/>
          <w:szCs w:val="24"/>
          <w:lang w:val="sr-Cyrl-RS"/>
        </w:rPr>
      </w:pPr>
      <w:r w:rsidRPr="00BA6F55">
        <w:rPr>
          <w:rFonts w:eastAsia="Times New Roman" w:cs="Times New Roman"/>
          <w:b/>
          <w:sz w:val="24"/>
          <w:szCs w:val="24"/>
          <w:lang w:val="sr-Cyrl-RS"/>
        </w:rPr>
        <w:t>Члан 34.</w:t>
      </w:r>
    </w:p>
    <w:p w14:paraId="73AEA281"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Делатност високог образовања остварује се кроз академске и струковне студије на основу акредитованих студијских програма за стицање високог образовања. </w:t>
      </w:r>
    </w:p>
    <w:p w14:paraId="0D9D203C"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На академским студијама изводи се академски студијски програм, који оспособљава студенте за развој и примену научних, уметничких и стручних достигнућа. </w:t>
      </w:r>
    </w:p>
    <w:p w14:paraId="5FEA4A87"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На струковним студијама изводи се струковни студијски програм, који оспособљава студенте за примену и развој стручних знања и вештина потребних за укључивање у радни процес. </w:t>
      </w:r>
    </w:p>
    <w:p w14:paraId="3A3A07BE" w14:textId="77777777" w:rsidR="005B766E" w:rsidRPr="00E167F9" w:rsidRDefault="005B766E" w:rsidP="001C2478">
      <w:pPr>
        <w:spacing w:before="0"/>
        <w:rPr>
          <w:rFonts w:eastAsia="Times New Roman" w:cs="Times New Roman"/>
          <w:b/>
          <w:sz w:val="24"/>
          <w:szCs w:val="24"/>
          <w:lang w:val="sr-Cyrl-RS"/>
        </w:rPr>
      </w:pPr>
      <w:r w:rsidRPr="00E167F9">
        <w:rPr>
          <w:rFonts w:eastAsia="Times New Roman" w:cs="Times New Roman"/>
          <w:b/>
          <w:sz w:val="24"/>
          <w:szCs w:val="24"/>
          <w:lang w:val="sr-Cyrl-RS"/>
        </w:rPr>
        <w:t xml:space="preserve">Ради стручног оспособљавања лица са стеченим средњим образовањем за укључивање у радни процес, изводи се кратки програм студија који има јасно дефинисану структуру, сврху и исходе учења и за који се издаје сертификат о завршеном кратком програму студија и стеченим компетенцијама. </w:t>
      </w:r>
    </w:p>
    <w:p w14:paraId="5F47D0AC" w14:textId="77777777" w:rsidR="002E634F" w:rsidRPr="00E167F9" w:rsidRDefault="002E634F" w:rsidP="001C2478">
      <w:pPr>
        <w:spacing w:before="0"/>
        <w:jc w:val="center"/>
        <w:rPr>
          <w:rFonts w:eastAsia="Times New Roman" w:cs="Times New Roman"/>
          <w:sz w:val="24"/>
          <w:szCs w:val="24"/>
          <w:lang w:val="sr-Cyrl-RS"/>
        </w:rPr>
      </w:pPr>
    </w:p>
    <w:p w14:paraId="611D4FB7" w14:textId="77777777" w:rsidR="00DE0A08" w:rsidRDefault="00DE0A08" w:rsidP="001C2478">
      <w:pPr>
        <w:spacing w:before="0"/>
        <w:ind w:firstLine="706"/>
        <w:jc w:val="center"/>
        <w:rPr>
          <w:rFonts w:eastAsia="Times New Roman" w:cs="Times New Roman"/>
          <w:b/>
          <w:sz w:val="24"/>
          <w:szCs w:val="24"/>
          <w:lang w:val="sr-Cyrl-RS"/>
        </w:rPr>
      </w:pPr>
    </w:p>
    <w:p w14:paraId="3C881BA3" w14:textId="77777777" w:rsidR="005B766E" w:rsidRPr="00BA6F55" w:rsidRDefault="005B766E" w:rsidP="001C2478">
      <w:pPr>
        <w:spacing w:before="0"/>
        <w:ind w:firstLine="706"/>
        <w:jc w:val="center"/>
        <w:rPr>
          <w:rFonts w:eastAsia="Times New Roman" w:cs="Times New Roman"/>
          <w:b/>
          <w:sz w:val="24"/>
          <w:szCs w:val="24"/>
          <w:lang w:val="sr-Cyrl-RS"/>
        </w:rPr>
      </w:pPr>
      <w:r w:rsidRPr="00BA6F55">
        <w:rPr>
          <w:rFonts w:eastAsia="Times New Roman" w:cs="Times New Roman"/>
          <w:b/>
          <w:sz w:val="24"/>
          <w:szCs w:val="24"/>
          <w:lang w:val="sr-Cyrl-RS"/>
        </w:rPr>
        <w:t>Обим студија</w:t>
      </w:r>
    </w:p>
    <w:p w14:paraId="4C99153B" w14:textId="77777777" w:rsidR="005B766E" w:rsidRPr="00BA6F55" w:rsidRDefault="005B766E" w:rsidP="001C2478">
      <w:pPr>
        <w:spacing w:before="0"/>
        <w:ind w:firstLine="706"/>
        <w:jc w:val="center"/>
        <w:rPr>
          <w:rFonts w:eastAsia="Times New Roman" w:cs="Times New Roman"/>
          <w:b/>
          <w:sz w:val="24"/>
          <w:szCs w:val="24"/>
          <w:lang w:val="sr-Cyrl-RS"/>
        </w:rPr>
      </w:pPr>
      <w:r w:rsidRPr="00BA6F55">
        <w:rPr>
          <w:rFonts w:eastAsia="Times New Roman" w:cs="Times New Roman"/>
          <w:b/>
          <w:sz w:val="24"/>
          <w:szCs w:val="24"/>
          <w:lang w:val="sr-Cyrl-RS"/>
        </w:rPr>
        <w:t>Члан 39.</w:t>
      </w:r>
    </w:p>
    <w:p w14:paraId="27D04A2F"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Сваки предмет из студијског програма или кратког програма студија исказује се бројем одговарајућих ЕСПБ бодова, а обим програма се изражава збиром ЕСПБ бодова. </w:t>
      </w:r>
    </w:p>
    <w:p w14:paraId="7CBAA711"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Збир од 60 ЕСПБ бодова одговара просечном укупном ангажовању студента у обиму 40-часовне радне недеље током једне школске године. </w:t>
      </w:r>
    </w:p>
    <w:p w14:paraId="1FA827A5"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Укупно ангажовање студента састоји се од активне наставе (предавања, вежбе, практикуми, семинари и др.), самосталног рада, колоквијума, испита, израде завршних радова, студентске праксе, добровољног рада у локалној заједници и других видова ангажовања. </w:t>
      </w:r>
    </w:p>
    <w:p w14:paraId="1105B126"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Добровољни рад је рад студента без накнаде, који организује високошколска установа на пројектима од значаја за локалну заједницу који се вреднује у систему високог образовања. </w:t>
      </w:r>
    </w:p>
    <w:p w14:paraId="2269A7DE"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Услове, начин организовања и вредновање добровољног рада уређује високошколска установа својим општим актом. </w:t>
      </w:r>
    </w:p>
    <w:p w14:paraId="4A59B7CE"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Укупан број часова активне наставе не може бити мањи од 600 часова у току школске године. </w:t>
      </w:r>
    </w:p>
    <w:p w14:paraId="6EED309A"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Основне академске студије имају од 180 до 240 ЕСПБ бодова. </w:t>
      </w:r>
    </w:p>
    <w:p w14:paraId="1C6E6AD3"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Основне струковне студије имају 180 ЕСПБ бодова. </w:t>
      </w:r>
    </w:p>
    <w:p w14:paraId="5304E343"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Специјалистичке струковне студије имају најмање 60 ЕСПБ бодова. </w:t>
      </w:r>
    </w:p>
    <w:p w14:paraId="7D8F6D88" w14:textId="77777777" w:rsidR="005B766E" w:rsidRPr="00E167F9" w:rsidRDefault="005B766E" w:rsidP="001C2478">
      <w:pPr>
        <w:spacing w:before="0"/>
        <w:rPr>
          <w:rFonts w:eastAsia="Times New Roman" w:cs="Times New Roman"/>
          <w:sz w:val="24"/>
          <w:szCs w:val="24"/>
          <w:lang w:val="sr-Cyrl-RS"/>
        </w:rPr>
      </w:pPr>
      <w:r w:rsidRPr="00E167F9">
        <w:rPr>
          <w:rFonts w:eastAsia="Times New Roman" w:cs="Times New Roman"/>
          <w:sz w:val="24"/>
          <w:szCs w:val="24"/>
          <w:lang w:val="sr-Cyrl-RS"/>
        </w:rPr>
        <w:t xml:space="preserve">Специјалистичке академске студије имају најмање 60 ЕСПБ бодова када су претходно завршене мастер академске студије. </w:t>
      </w:r>
    </w:p>
    <w:p w14:paraId="026A05B4" w14:textId="77777777" w:rsidR="005B766E" w:rsidRPr="00BC3349" w:rsidRDefault="005B766E" w:rsidP="001C2478">
      <w:pPr>
        <w:spacing w:before="0"/>
        <w:rPr>
          <w:rFonts w:eastAsia="Times New Roman" w:cs="Times New Roman"/>
          <w:sz w:val="24"/>
          <w:szCs w:val="24"/>
        </w:rPr>
      </w:pPr>
      <w:r w:rsidRPr="00BC3349">
        <w:rPr>
          <w:rFonts w:eastAsia="Times New Roman" w:cs="Times New Roman"/>
          <w:sz w:val="24"/>
          <w:szCs w:val="24"/>
        </w:rPr>
        <w:t xml:space="preserve">Mастер академске студије имају: </w:t>
      </w:r>
    </w:p>
    <w:p w14:paraId="38697147" w14:textId="77777777" w:rsidR="005B766E" w:rsidRPr="00BC3349" w:rsidRDefault="005B766E" w:rsidP="001C2478">
      <w:pPr>
        <w:spacing w:before="0"/>
        <w:rPr>
          <w:rFonts w:eastAsia="Times New Roman" w:cs="Times New Roman"/>
          <w:sz w:val="24"/>
          <w:szCs w:val="24"/>
        </w:rPr>
      </w:pPr>
      <w:r w:rsidRPr="00BC3349">
        <w:rPr>
          <w:rFonts w:eastAsia="Times New Roman" w:cs="Times New Roman"/>
          <w:sz w:val="24"/>
          <w:szCs w:val="24"/>
        </w:rPr>
        <w:t xml:space="preserve">1) најмање 60 ЕСПБ бодова, када је претходно остварен обим основних академских студија од 240 ЕСПБ бодова; </w:t>
      </w:r>
    </w:p>
    <w:p w14:paraId="402B950D" w14:textId="77777777" w:rsidR="005B766E" w:rsidRPr="00BC3349" w:rsidRDefault="005B766E" w:rsidP="001C2478">
      <w:pPr>
        <w:spacing w:before="0"/>
        <w:rPr>
          <w:rFonts w:eastAsia="Times New Roman" w:cs="Times New Roman"/>
          <w:sz w:val="24"/>
          <w:szCs w:val="24"/>
        </w:rPr>
      </w:pPr>
      <w:r w:rsidRPr="00BC3349">
        <w:rPr>
          <w:rFonts w:eastAsia="Times New Roman" w:cs="Times New Roman"/>
          <w:sz w:val="24"/>
          <w:szCs w:val="24"/>
        </w:rPr>
        <w:t xml:space="preserve">2) најмање 120 ЕСПБ бодова када је претходно остварен обим основних академских студија од 180 ЕСПБ бодова. </w:t>
      </w:r>
    </w:p>
    <w:p w14:paraId="6301DF8C" w14:textId="77777777" w:rsidR="005B766E" w:rsidRPr="00BC3349" w:rsidRDefault="005B766E" w:rsidP="001C2478">
      <w:pPr>
        <w:spacing w:before="0"/>
        <w:rPr>
          <w:rFonts w:eastAsia="Times New Roman" w:cs="Times New Roman"/>
          <w:sz w:val="24"/>
          <w:szCs w:val="24"/>
        </w:rPr>
      </w:pPr>
      <w:r w:rsidRPr="00BC3349">
        <w:rPr>
          <w:rFonts w:eastAsia="Times New Roman" w:cs="Times New Roman"/>
          <w:sz w:val="24"/>
          <w:szCs w:val="24"/>
        </w:rPr>
        <w:lastRenderedPageBreak/>
        <w:t>Мастер струковне студије имају најмање 120 ЕСПБ бодова када је претходно остварен обим првог степена студија од најмање 180 ЕСПБ бодова.</w:t>
      </w:r>
    </w:p>
    <w:p w14:paraId="59E9F72B" w14:textId="77777777" w:rsidR="005B766E" w:rsidRPr="00BC3349" w:rsidRDefault="005B766E" w:rsidP="001C2478">
      <w:pPr>
        <w:spacing w:before="0"/>
        <w:rPr>
          <w:rFonts w:eastAsia="Times New Roman" w:cs="Times New Roman"/>
          <w:sz w:val="24"/>
          <w:szCs w:val="24"/>
        </w:rPr>
      </w:pPr>
      <w:r w:rsidRPr="00BC3349">
        <w:rPr>
          <w:rFonts w:eastAsia="Times New Roman" w:cs="Times New Roman"/>
          <w:sz w:val="24"/>
          <w:szCs w:val="24"/>
        </w:rPr>
        <w:t xml:space="preserve">Студијски програми академских студија могу се организовати интегрисано у оквиру основних и мастер академских студија. </w:t>
      </w:r>
    </w:p>
    <w:p w14:paraId="7FBC0961" w14:textId="77777777" w:rsidR="005B766E" w:rsidRPr="00BC3349" w:rsidRDefault="005B766E" w:rsidP="001C2478">
      <w:pPr>
        <w:spacing w:before="0"/>
        <w:rPr>
          <w:rFonts w:eastAsia="Times New Roman" w:cs="Times New Roman"/>
          <w:sz w:val="24"/>
          <w:szCs w:val="24"/>
        </w:rPr>
      </w:pPr>
      <w:r w:rsidRPr="00BC3349">
        <w:rPr>
          <w:rFonts w:eastAsia="Times New Roman" w:cs="Times New Roman"/>
          <w:sz w:val="24"/>
          <w:szCs w:val="24"/>
        </w:rPr>
        <w:t xml:space="preserve">Докторске студије имају најмање 180 ЕСПБ бодова, уз претходно остварени обим студија од најмање 300 ЕСПБ бодова на основним академским и мастер академским студијама, односно интегрисаним академским студијама. </w:t>
      </w:r>
    </w:p>
    <w:p w14:paraId="633387F1" w14:textId="4AF30B61" w:rsidR="00962569" w:rsidRPr="00BC3349" w:rsidRDefault="005B766E" w:rsidP="00962569">
      <w:pPr>
        <w:spacing w:before="0"/>
        <w:rPr>
          <w:rFonts w:eastAsia="Times New Roman" w:cs="Times New Roman"/>
          <w:sz w:val="24"/>
          <w:szCs w:val="24"/>
        </w:rPr>
      </w:pPr>
      <w:r w:rsidRPr="00BC3349">
        <w:rPr>
          <w:rFonts w:eastAsia="Times New Roman" w:cs="Times New Roman"/>
          <w:sz w:val="24"/>
          <w:szCs w:val="24"/>
        </w:rPr>
        <w:t xml:space="preserve">Студијски програми академских студија из медицинских наука могу се организовати интегрисано у оквиру основних и мастер академских студија, са укупним обимом од највише 360 ЕСПБ бодова. </w:t>
      </w:r>
      <w:bookmarkStart w:id="0" w:name="_GoBack"/>
      <w:bookmarkEnd w:id="0"/>
    </w:p>
    <w:p w14:paraId="5DFEDF55" w14:textId="77777777" w:rsidR="002660DA" w:rsidRPr="00BC3349" w:rsidRDefault="002660DA" w:rsidP="001C2478">
      <w:pPr>
        <w:spacing w:before="0"/>
        <w:rPr>
          <w:rFonts w:eastAsia="Times New Roman" w:cs="Times New Roman"/>
          <w:b/>
          <w:sz w:val="24"/>
          <w:szCs w:val="24"/>
        </w:rPr>
      </w:pPr>
      <w:r w:rsidRPr="00BC3349">
        <w:rPr>
          <w:rFonts w:eastAsia="Times New Roman" w:cs="Times New Roman"/>
          <w:b/>
          <w:sz w:val="24"/>
          <w:szCs w:val="24"/>
        </w:rPr>
        <w:t xml:space="preserve">Кратки програм студија може се изводити у обиму од 30 до 60 ЕСПБ бодова. </w:t>
      </w:r>
    </w:p>
    <w:p w14:paraId="15CAA3C3" w14:textId="77777777" w:rsidR="00DF31AD" w:rsidRPr="00BC3349" w:rsidRDefault="00DF31AD" w:rsidP="001C2478">
      <w:pPr>
        <w:spacing w:before="0"/>
        <w:rPr>
          <w:rFonts w:cs="Times New Roman"/>
          <w:b/>
          <w:bCs/>
          <w:sz w:val="24"/>
          <w:szCs w:val="24"/>
        </w:rPr>
      </w:pPr>
    </w:p>
    <w:p w14:paraId="19F92830" w14:textId="77777777" w:rsidR="001C2478" w:rsidRDefault="001C2478" w:rsidP="001C2478">
      <w:pPr>
        <w:spacing w:before="0"/>
        <w:ind w:firstLine="706"/>
        <w:jc w:val="center"/>
        <w:rPr>
          <w:rFonts w:eastAsia="Times New Roman" w:cs="Times New Roman"/>
          <w:b/>
          <w:sz w:val="24"/>
          <w:szCs w:val="24"/>
        </w:rPr>
      </w:pPr>
    </w:p>
    <w:p w14:paraId="068783B2" w14:textId="77777777" w:rsidR="002660DA" w:rsidRPr="00BA6F55" w:rsidRDefault="002660DA" w:rsidP="001C2478">
      <w:pPr>
        <w:spacing w:before="0"/>
        <w:ind w:firstLine="706"/>
        <w:jc w:val="center"/>
        <w:rPr>
          <w:rFonts w:eastAsia="Times New Roman" w:cs="Times New Roman"/>
          <w:b/>
          <w:sz w:val="24"/>
          <w:szCs w:val="24"/>
        </w:rPr>
      </w:pPr>
      <w:r w:rsidRPr="00BA6F55">
        <w:rPr>
          <w:rFonts w:eastAsia="Times New Roman" w:cs="Times New Roman"/>
          <w:b/>
          <w:sz w:val="24"/>
          <w:szCs w:val="24"/>
        </w:rPr>
        <w:t>Евиденције које води високошколска установа</w:t>
      </w:r>
    </w:p>
    <w:p w14:paraId="17D3F75E" w14:textId="77777777" w:rsidR="002660DA" w:rsidRPr="00BA6F55" w:rsidRDefault="002660DA" w:rsidP="001C2478">
      <w:pPr>
        <w:spacing w:before="0"/>
        <w:ind w:firstLine="706"/>
        <w:jc w:val="center"/>
        <w:rPr>
          <w:rFonts w:eastAsia="Times New Roman" w:cs="Times New Roman"/>
          <w:b/>
          <w:sz w:val="24"/>
          <w:szCs w:val="24"/>
        </w:rPr>
      </w:pPr>
      <w:r w:rsidRPr="00BA6F55">
        <w:rPr>
          <w:rFonts w:eastAsia="Times New Roman" w:cs="Times New Roman"/>
          <w:b/>
          <w:sz w:val="24"/>
          <w:szCs w:val="24"/>
        </w:rPr>
        <w:t>Члан 113.</w:t>
      </w:r>
    </w:p>
    <w:p w14:paraId="39C5915D" w14:textId="77777777" w:rsidR="002660DA" w:rsidRPr="00BC3349" w:rsidRDefault="002660DA" w:rsidP="001C2478">
      <w:pPr>
        <w:spacing w:before="0"/>
        <w:rPr>
          <w:rFonts w:eastAsia="Times New Roman" w:cs="Times New Roman"/>
          <w:b/>
          <w:sz w:val="24"/>
          <w:szCs w:val="24"/>
        </w:rPr>
      </w:pPr>
      <w:r w:rsidRPr="00BC3349">
        <w:rPr>
          <w:rFonts w:eastAsia="Times New Roman" w:cs="Times New Roman"/>
          <w:sz w:val="24"/>
          <w:szCs w:val="24"/>
        </w:rPr>
        <w:t>Високошколска установа води: матичну књигу студената, евиденцију о издатим дипломама и додацима диплома, евиденцију о запосленима, евиденцију о признатим страним високошколским исправама ради наставка школовања и записник о полагању испита</w:t>
      </w:r>
      <w:r w:rsidRPr="00BC3349">
        <w:rPr>
          <w:rFonts w:eastAsia="Times New Roman" w:cs="Times New Roman"/>
          <w:b/>
          <w:sz w:val="24"/>
          <w:szCs w:val="24"/>
        </w:rPr>
        <w:t>.</w:t>
      </w:r>
    </w:p>
    <w:p w14:paraId="6B6669CF" w14:textId="77777777" w:rsidR="002660DA" w:rsidRPr="00BC3349" w:rsidRDefault="002660DA" w:rsidP="001C2478">
      <w:pPr>
        <w:spacing w:before="0"/>
        <w:rPr>
          <w:rFonts w:eastAsia="Times New Roman" w:cs="Times New Roman"/>
          <w:b/>
          <w:sz w:val="24"/>
          <w:szCs w:val="24"/>
        </w:rPr>
      </w:pPr>
      <w:r w:rsidRPr="00BC3349">
        <w:rPr>
          <w:rFonts w:eastAsia="Times New Roman" w:cs="Times New Roman"/>
          <w:b/>
          <w:sz w:val="24"/>
          <w:szCs w:val="24"/>
        </w:rPr>
        <w:t xml:space="preserve">Високошколске установе воде и евиденцију о полазницима и издатим сертификатима о завршеном кратком програму студија. </w:t>
      </w:r>
    </w:p>
    <w:p w14:paraId="52F61FE9"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 xml:space="preserve">Евиденција из става 1. овог члана води се на српском језику, ћириличким писмом, у штампаној форми, а може се водити и електронски. </w:t>
      </w:r>
    </w:p>
    <w:p w14:paraId="47331545"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Када се настава остварује на језику националне мањине, евиденција из става 1. овог члана води се на српском језику ћириличким писмом и на језику и писму националне мањине.</w:t>
      </w:r>
    </w:p>
    <w:p w14:paraId="0DC3D9ED"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Подаци уписани у евиденцију високошколске установе достављају се Министарству за обављање законом утврђених послова, у складу са овим законом.</w:t>
      </w:r>
    </w:p>
    <w:p w14:paraId="2D8C151E"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Ближе услове у погледу вођења, прикупљања, уноса, ажурирања, доступности података о којима се води евиденција, као и друга питања од значаја за вођење евиденција, прописује министар.</w:t>
      </w:r>
    </w:p>
    <w:p w14:paraId="7212E654" w14:textId="77777777" w:rsidR="00DF31AD" w:rsidRPr="00BC3349" w:rsidRDefault="00DF31AD" w:rsidP="001C2478">
      <w:pPr>
        <w:spacing w:before="0"/>
        <w:rPr>
          <w:rFonts w:cs="Times New Roman"/>
          <w:b/>
          <w:bCs/>
          <w:sz w:val="24"/>
          <w:szCs w:val="24"/>
        </w:rPr>
      </w:pPr>
    </w:p>
    <w:p w14:paraId="5A1B1AD3" w14:textId="77777777" w:rsidR="002660DA" w:rsidRPr="00BA6F55" w:rsidRDefault="002660DA" w:rsidP="001C2478">
      <w:pPr>
        <w:spacing w:before="0"/>
        <w:ind w:firstLine="706"/>
        <w:jc w:val="center"/>
        <w:rPr>
          <w:rFonts w:eastAsia="Times New Roman" w:cs="Times New Roman"/>
          <w:b/>
          <w:sz w:val="24"/>
          <w:szCs w:val="24"/>
        </w:rPr>
      </w:pPr>
      <w:r w:rsidRPr="00BA6F55">
        <w:rPr>
          <w:rFonts w:eastAsia="Times New Roman" w:cs="Times New Roman"/>
          <w:b/>
          <w:sz w:val="24"/>
          <w:szCs w:val="24"/>
        </w:rPr>
        <w:t>Подаци у регистру акредитованих установа</w:t>
      </w:r>
    </w:p>
    <w:p w14:paraId="5CE109A9" w14:textId="77777777" w:rsidR="002660DA" w:rsidRPr="00BA6F55" w:rsidRDefault="002660DA" w:rsidP="001C2478">
      <w:pPr>
        <w:spacing w:before="0"/>
        <w:ind w:firstLine="706"/>
        <w:jc w:val="center"/>
        <w:rPr>
          <w:rFonts w:eastAsia="Times New Roman" w:cs="Times New Roman"/>
          <w:b/>
          <w:sz w:val="24"/>
          <w:szCs w:val="24"/>
        </w:rPr>
      </w:pPr>
      <w:r w:rsidRPr="00BA6F55">
        <w:rPr>
          <w:rFonts w:eastAsia="Times New Roman" w:cs="Times New Roman"/>
          <w:b/>
          <w:sz w:val="24"/>
          <w:szCs w:val="24"/>
        </w:rPr>
        <w:t>Члан 116.</w:t>
      </w:r>
    </w:p>
    <w:p w14:paraId="403C7FA5"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 xml:space="preserve">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студијским програмима које високошколска установа реализује; </w:t>
      </w:r>
      <w:r w:rsidRPr="00BC3349">
        <w:rPr>
          <w:rFonts w:eastAsia="Times New Roman" w:cs="Times New Roman"/>
          <w:b/>
          <w:sz w:val="24"/>
          <w:szCs w:val="24"/>
        </w:rPr>
        <w:t xml:space="preserve">подаци о реализованим кратким програмима студија и издатим сертификатима; </w:t>
      </w:r>
      <w:r w:rsidRPr="00BC3349">
        <w:rPr>
          <w:rFonts w:eastAsia="Times New Roman" w:cs="Times New Roman"/>
          <w:sz w:val="24"/>
          <w:szCs w:val="24"/>
        </w:rPr>
        <w:t xml:space="preserve">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w:t>
      </w:r>
      <w:r w:rsidRPr="00BC3349">
        <w:rPr>
          <w:rFonts w:eastAsia="Times New Roman" w:cs="Times New Roman"/>
          <w:sz w:val="24"/>
          <w:szCs w:val="24"/>
        </w:rPr>
        <w:lastRenderedPageBreak/>
        <w:t>о акредитацији високошколске установе и резултатима спољашњег вредновања високошколске установе; подаци о сопственим приходима и њиховом трошењу.</w:t>
      </w:r>
    </w:p>
    <w:p w14:paraId="6BF9C251"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 xml:space="preserve">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 </w:t>
      </w:r>
    </w:p>
    <w:p w14:paraId="67A09469" w14:textId="77777777" w:rsidR="002660DA" w:rsidRPr="00BC3349" w:rsidRDefault="002660DA" w:rsidP="001C2478">
      <w:pPr>
        <w:spacing w:before="0"/>
        <w:rPr>
          <w:rFonts w:eastAsia="Times New Roman" w:cs="Times New Roman"/>
          <w:sz w:val="24"/>
          <w:szCs w:val="24"/>
        </w:rPr>
      </w:pPr>
      <w:r w:rsidRPr="00BC3349">
        <w:rPr>
          <w:rFonts w:eastAsia="Times New Roman" w:cs="Times New Roman"/>
          <w:sz w:val="24"/>
          <w:szCs w:val="24"/>
        </w:rPr>
        <w:t>Подаци из регистра из става 1. овог члана су отворени подаци, осим података о сопственим приходима и њиховом трошењу, јавно доступни на интернет презентацији Министарства, у машински обрадивом облику за коришћење и даље објављивање.</w:t>
      </w:r>
    </w:p>
    <w:p w14:paraId="166A6B12" w14:textId="77777777" w:rsidR="00A507FC" w:rsidRPr="00BC3349" w:rsidRDefault="00A507FC" w:rsidP="001C2478">
      <w:pPr>
        <w:spacing w:before="0"/>
        <w:jc w:val="center"/>
        <w:rPr>
          <w:rFonts w:eastAsia="Times New Roman" w:cs="Times New Roman"/>
          <w:sz w:val="24"/>
          <w:szCs w:val="24"/>
        </w:rPr>
      </w:pPr>
    </w:p>
    <w:p w14:paraId="0B9A4CBC" w14:textId="77777777" w:rsidR="001C2478" w:rsidRDefault="001C2478" w:rsidP="001C2478">
      <w:pPr>
        <w:spacing w:before="0"/>
        <w:ind w:firstLine="706"/>
        <w:jc w:val="center"/>
        <w:rPr>
          <w:rFonts w:eastAsia="Times New Roman" w:cs="Times New Roman"/>
          <w:b/>
          <w:sz w:val="24"/>
          <w:szCs w:val="24"/>
        </w:rPr>
      </w:pPr>
    </w:p>
    <w:p w14:paraId="397E8ECE" w14:textId="77777777" w:rsidR="00A507FC" w:rsidRPr="00BA6F55" w:rsidRDefault="00A507FC" w:rsidP="001C2478">
      <w:pPr>
        <w:spacing w:before="0"/>
        <w:ind w:firstLine="706"/>
        <w:jc w:val="center"/>
        <w:rPr>
          <w:rFonts w:eastAsia="Times New Roman" w:cs="Times New Roman"/>
          <w:b/>
          <w:sz w:val="24"/>
          <w:szCs w:val="24"/>
        </w:rPr>
      </w:pPr>
      <w:r w:rsidRPr="00BA6F55">
        <w:rPr>
          <w:rFonts w:eastAsia="Times New Roman" w:cs="Times New Roman"/>
          <w:b/>
          <w:sz w:val="24"/>
          <w:szCs w:val="24"/>
        </w:rPr>
        <w:t>Подаци у евиденцијама о студентима</w:t>
      </w:r>
    </w:p>
    <w:p w14:paraId="47394BC1" w14:textId="77777777" w:rsidR="00A507FC" w:rsidRPr="00BA6F55" w:rsidRDefault="00A507FC" w:rsidP="001C2478">
      <w:pPr>
        <w:spacing w:before="0"/>
        <w:ind w:firstLine="706"/>
        <w:jc w:val="center"/>
        <w:rPr>
          <w:rFonts w:eastAsia="Times New Roman" w:cs="Times New Roman"/>
          <w:b/>
          <w:sz w:val="24"/>
          <w:szCs w:val="24"/>
        </w:rPr>
      </w:pPr>
      <w:r w:rsidRPr="00BA6F55">
        <w:rPr>
          <w:rFonts w:eastAsia="Times New Roman" w:cs="Times New Roman"/>
          <w:b/>
          <w:sz w:val="24"/>
          <w:szCs w:val="24"/>
        </w:rPr>
        <w:t>Члан 118.</w:t>
      </w:r>
    </w:p>
    <w:p w14:paraId="7C1BF98F" w14:textId="77777777" w:rsidR="00A507FC" w:rsidRPr="00BC3349" w:rsidRDefault="00A507FC" w:rsidP="001C2478">
      <w:pPr>
        <w:spacing w:before="0"/>
        <w:rPr>
          <w:rFonts w:eastAsia="Times New Roman" w:cs="Times New Roman"/>
          <w:sz w:val="24"/>
          <w:szCs w:val="24"/>
        </w:rPr>
      </w:pPr>
      <w:r w:rsidRPr="00BC3349">
        <w:rPr>
          <w:rFonts w:eastAsia="Times New Roman" w:cs="Times New Roman"/>
          <w:sz w:val="24"/>
          <w:szCs w:val="24"/>
        </w:rPr>
        <w:t>Подаци о студентима које високошколска установа води у евиденцији из члана 113. став 1. представљају скуп личних података којима се одређује њихов идентитет, образовни и социјални статус и потребна образовна, социјална и здравствена подршка.</w:t>
      </w:r>
    </w:p>
    <w:p w14:paraId="5841E9F8" w14:textId="77777777" w:rsidR="00A507FC" w:rsidRPr="00BC3349" w:rsidRDefault="00A507FC" w:rsidP="001C2478">
      <w:pPr>
        <w:spacing w:before="0"/>
        <w:rPr>
          <w:rFonts w:eastAsia="Times New Roman" w:cs="Times New Roman"/>
          <w:sz w:val="24"/>
          <w:szCs w:val="24"/>
        </w:rPr>
      </w:pPr>
      <w:r w:rsidRPr="00BC3349">
        <w:rPr>
          <w:rFonts w:eastAsia="Times New Roman" w:cs="Times New Roman"/>
          <w:sz w:val="24"/>
          <w:szCs w:val="24"/>
        </w:rPr>
        <w:t>Личне податке о студентима прикупља високошколска установа путем обрасца чији изглед прописује министар и који се попуњава у папирној форми при упису године студија.</w:t>
      </w:r>
    </w:p>
    <w:p w14:paraId="73B9B538" w14:textId="77777777" w:rsidR="00A507FC" w:rsidRPr="00BC3349" w:rsidRDefault="00A507FC" w:rsidP="001C2478">
      <w:pPr>
        <w:spacing w:before="0"/>
        <w:rPr>
          <w:rFonts w:eastAsia="Times New Roman" w:cs="Times New Roman"/>
          <w:sz w:val="24"/>
          <w:szCs w:val="24"/>
        </w:rPr>
      </w:pPr>
      <w:r w:rsidRPr="00BC3349">
        <w:rPr>
          <w:rFonts w:eastAsia="Times New Roman" w:cs="Times New Roman"/>
          <w:sz w:val="24"/>
          <w:szCs w:val="24"/>
        </w:rPr>
        <w:t>За одређивање идентитета студента прикупљају се следећи подаци: име, презиме, име једног родитеља, пол, јединствени матични број грађана, број пасоша и издавалац за стране држављане, датум рођења, место рођења, држава и адреса сталног становања, адреса становања за време студирања, национална припадност у складу са законом, брачни статус, држављанство, адреса, контакт телефон, фотографија и други подаци у складу са овим законом.</w:t>
      </w:r>
    </w:p>
    <w:p w14:paraId="366A154A" w14:textId="77777777" w:rsidR="00A507FC" w:rsidRPr="00BC3349" w:rsidRDefault="00A507FC" w:rsidP="001C2478">
      <w:pPr>
        <w:spacing w:before="0"/>
        <w:rPr>
          <w:rFonts w:eastAsia="Times New Roman" w:cs="Times New Roman"/>
          <w:sz w:val="24"/>
          <w:szCs w:val="24"/>
        </w:rPr>
      </w:pPr>
      <w:r w:rsidRPr="00BC3349">
        <w:rPr>
          <w:rFonts w:eastAsia="Times New Roman" w:cs="Times New Roman"/>
          <w:sz w:val="24"/>
          <w:szCs w:val="24"/>
        </w:rPr>
        <w:t>За одређивање образовног статуса студената прикупљају се подаци о претходно завршеном образовању, језик на коме је стечено основно и средње образовање, уписаном студијском програму, врсти студија, години студија и години првог уписа на студијски програм, учешћу на међународним програмима мобилности, години завршетка студијског програма, језику на коме се изводи студијски програм, подаци о оствареним ЕСПБ бодовима, подаци о наградама и похвалама освојеним током студирања и издатим јавним исправама.</w:t>
      </w:r>
    </w:p>
    <w:p w14:paraId="1EBF79BF" w14:textId="77777777" w:rsidR="00A507FC" w:rsidRPr="00BC3349" w:rsidRDefault="00A507FC" w:rsidP="001C2478">
      <w:pPr>
        <w:spacing w:before="0"/>
        <w:rPr>
          <w:rFonts w:eastAsia="Times New Roman" w:cs="Times New Roman"/>
          <w:sz w:val="24"/>
          <w:szCs w:val="24"/>
        </w:rPr>
      </w:pPr>
      <w:r w:rsidRPr="00BC3349">
        <w:rPr>
          <w:rFonts w:eastAsia="Times New Roman" w:cs="Times New Roman"/>
          <w:sz w:val="24"/>
          <w:szCs w:val="24"/>
        </w:rPr>
        <w:t>За одређивање социјалног статуса студената прикупљају се подаци о начину финансирања студија, начину издржавања током студија, адреси становања током студирања, типу смештаја током студирања, радном статусу студента током студирања, издржаваним лицима, школској спреми оба родитеља, радном статусу родитеља (издржаваоца) и занимању родитеља или издржаваоца.</w:t>
      </w:r>
    </w:p>
    <w:p w14:paraId="32AE6144" w14:textId="77777777" w:rsidR="00A507FC" w:rsidRPr="00BC3349" w:rsidRDefault="00A507FC" w:rsidP="001C2478">
      <w:pPr>
        <w:spacing w:before="0"/>
        <w:rPr>
          <w:rFonts w:eastAsia="Times New Roman" w:cs="Times New Roman"/>
          <w:sz w:val="24"/>
          <w:szCs w:val="24"/>
        </w:rPr>
      </w:pPr>
      <w:r w:rsidRPr="00BC3349">
        <w:rPr>
          <w:rFonts w:eastAsia="Times New Roman" w:cs="Times New Roman"/>
          <w:sz w:val="24"/>
          <w:szCs w:val="24"/>
        </w:rPr>
        <w:t>За одређивање здравственог статуса студената прикупљају се подаци о потребама за пружањем додатне подршке приликом обављања свакодневних активности на високошколској установи.</w:t>
      </w:r>
    </w:p>
    <w:p w14:paraId="66D62F1D" w14:textId="77777777" w:rsidR="00A507FC" w:rsidRPr="00BC3349" w:rsidRDefault="00A507FC" w:rsidP="001C2478">
      <w:pPr>
        <w:spacing w:before="0"/>
        <w:rPr>
          <w:rFonts w:eastAsia="Times New Roman" w:cs="Times New Roman"/>
          <w:b/>
          <w:sz w:val="24"/>
          <w:szCs w:val="24"/>
        </w:rPr>
      </w:pPr>
      <w:r w:rsidRPr="00BC3349">
        <w:rPr>
          <w:rFonts w:eastAsia="Times New Roman" w:cs="Times New Roman"/>
          <w:b/>
          <w:sz w:val="24"/>
          <w:szCs w:val="24"/>
        </w:rPr>
        <w:t xml:space="preserve">Високошколска установа, сходно одредбама из ст. 3. и 4. овог члана, води евиденцију и о уписаним полазницима на кратким програмима студија и издатим сертификатима. </w:t>
      </w:r>
    </w:p>
    <w:p w14:paraId="41DA5B54" w14:textId="77777777" w:rsidR="00E167F9" w:rsidRDefault="00A507FC" w:rsidP="001C2478">
      <w:pPr>
        <w:spacing w:before="0"/>
        <w:rPr>
          <w:rFonts w:eastAsia="Times New Roman" w:cs="Times New Roman"/>
          <w:sz w:val="24"/>
          <w:szCs w:val="24"/>
        </w:rPr>
      </w:pPr>
      <w:r w:rsidRPr="00BC3349">
        <w:rPr>
          <w:rFonts w:eastAsia="Times New Roman" w:cs="Times New Roman"/>
          <w:sz w:val="24"/>
          <w:szCs w:val="24"/>
        </w:rPr>
        <w:t>Руковалац подацима о личности из ст. 3−7. овог члана је високошколска установа.</w:t>
      </w:r>
    </w:p>
    <w:p w14:paraId="70EE7FA7" w14:textId="77777777" w:rsidR="00E167F9" w:rsidRDefault="00E167F9" w:rsidP="001C2478">
      <w:pPr>
        <w:spacing w:before="0"/>
        <w:rPr>
          <w:rFonts w:eastAsia="Times New Roman" w:cs="Times New Roman"/>
          <w:sz w:val="24"/>
          <w:szCs w:val="24"/>
        </w:rPr>
      </w:pPr>
    </w:p>
    <w:sectPr w:rsidR="00E167F9" w:rsidSect="006F2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359E" w14:textId="77777777" w:rsidR="00FD0F2D" w:rsidRDefault="00FD0F2D" w:rsidP="006225E7">
      <w:r>
        <w:separator/>
      </w:r>
    </w:p>
  </w:endnote>
  <w:endnote w:type="continuationSeparator" w:id="0">
    <w:p w14:paraId="6C91DAFC" w14:textId="77777777" w:rsidR="00FD0F2D" w:rsidRDefault="00FD0F2D" w:rsidP="0062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6A4D" w14:textId="77777777" w:rsidR="006225E7" w:rsidRPr="00192B74" w:rsidRDefault="006225E7"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4F96E3C1" wp14:editId="6AAC52AE">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6F116B"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00192B74" w:rsidRPr="00192B74">
      <w:rPr>
        <w:rFonts w:cs="Arial"/>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4A61" w14:textId="77777777" w:rsidR="00FD0F2D" w:rsidRDefault="00FD0F2D" w:rsidP="006225E7">
      <w:r>
        <w:separator/>
      </w:r>
    </w:p>
  </w:footnote>
  <w:footnote w:type="continuationSeparator" w:id="0">
    <w:p w14:paraId="0885B88F" w14:textId="77777777" w:rsidR="00FD0F2D" w:rsidRDefault="00FD0F2D" w:rsidP="0062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ED71" w14:textId="43BB1001" w:rsidR="006225E7" w:rsidRDefault="00D429EA" w:rsidP="00775148">
    <w:pPr>
      <w:pStyle w:val="Header"/>
      <w:jc w:val="right"/>
    </w:pPr>
    <w:r>
      <w:rPr>
        <w:noProof/>
      </w:rPr>
      <w:drawing>
        <wp:inline distT="0" distB="0" distL="0" distR="0" wp14:anchorId="1E33A4A5" wp14:editId="3E401C18">
          <wp:extent cx="1280160" cy="777240"/>
          <wp:effectExtent l="0" t="0" r="0" b="3810"/>
          <wp:docPr id="10" name="Picture 1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rsidR="006225E7">
      <w:tab/>
    </w:r>
    <w:r w:rsidR="006225E7">
      <w:tab/>
      <w:t xml:space="preserve"> </w:t>
    </w:r>
    <w:r w:rsidR="006225E7">
      <w:rPr>
        <w:noProof/>
      </w:rPr>
      <w:drawing>
        <wp:inline distT="0" distB="0" distL="0" distR="0" wp14:anchorId="3C828981" wp14:editId="76E1E9F5">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7E5DF00C" w14:textId="77777777" w:rsidR="006225E7" w:rsidRDefault="00F22AEF">
    <w:pPr>
      <w:pStyle w:val="Header"/>
    </w:pP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53D962E0" wp14:editId="55B3036A">
              <wp:simplePos x="0" y="0"/>
              <wp:positionH relativeFrom="column">
                <wp:posOffset>136072</wp:posOffset>
              </wp:positionH>
              <wp:positionV relativeFrom="paragraph">
                <wp:posOffset>73388</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29B634" id="Rectangle 4" o:spid="_x0000_s1026" style="position:absolute;margin-left:10.7pt;margin-top:5.8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60A"/>
    <w:multiLevelType w:val="hybridMultilevel"/>
    <w:tmpl w:val="635A011E"/>
    <w:lvl w:ilvl="0" w:tplc="00B0A542">
      <w:start w:val="2"/>
      <w:numFmt w:val="decimal"/>
      <w:lvlText w:val="%1."/>
      <w:lvlJc w:val="left"/>
      <w:pPr>
        <w:ind w:left="720" w:hanging="360"/>
      </w:pPr>
      <w:rPr>
        <w:rFonts w:eastAsia="Times New Roman"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63FF9"/>
    <w:multiLevelType w:val="hybridMultilevel"/>
    <w:tmpl w:val="404AAF5A"/>
    <w:lvl w:ilvl="0" w:tplc="32F2F8E8">
      <w:start w:val="1"/>
      <w:numFmt w:val="decimal"/>
      <w:lvlText w:val="%1."/>
      <w:lvlJc w:val="left"/>
      <w:pPr>
        <w:tabs>
          <w:tab w:val="num" w:pos="513"/>
        </w:tabs>
        <w:ind w:left="1162" w:hanging="255"/>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9336F"/>
    <w:multiLevelType w:val="hybridMultilevel"/>
    <w:tmpl w:val="EB90A80C"/>
    <w:lvl w:ilvl="0" w:tplc="B2F04B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F38BC"/>
    <w:multiLevelType w:val="hybridMultilevel"/>
    <w:tmpl w:val="3CD87D3A"/>
    <w:lvl w:ilvl="0" w:tplc="0409000F">
      <w:start w:val="1"/>
      <w:numFmt w:val="decimal"/>
      <w:lvlText w:val="%1."/>
      <w:lvlJc w:val="left"/>
      <w:pPr>
        <w:ind w:left="720" w:hanging="360"/>
      </w:pPr>
    </w:lvl>
    <w:lvl w:ilvl="1" w:tplc="839A4154">
      <w:start w:val="1"/>
      <w:numFmt w:val="decimal"/>
      <w:lvlText w:val="%2."/>
      <w:lvlJc w:val="left"/>
      <w:pPr>
        <w:ind w:left="990" w:hanging="360"/>
      </w:pPr>
      <w:rPr>
        <w:rFonts w:ascii="Arial" w:eastAsiaTheme="minorEastAsia"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6671"/>
    <w:multiLevelType w:val="hybridMultilevel"/>
    <w:tmpl w:val="A46AFD58"/>
    <w:lvl w:ilvl="0" w:tplc="B22E285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B4B"/>
    <w:multiLevelType w:val="multilevel"/>
    <w:tmpl w:val="8D1E3868"/>
    <w:lvl w:ilvl="0">
      <w:start w:val="1"/>
      <w:numFmt w:val="decimal"/>
      <w:lvlText w:val="%1."/>
      <w:lvlJc w:val="center"/>
      <w:pPr>
        <w:ind w:left="1069" w:hanging="360"/>
      </w:pPr>
      <w:rPr>
        <w:rFonts w:ascii="Times New Roman" w:eastAsiaTheme="minorEastAsia" w:hAnsi="Times New Roman" w:cs="Times New Roman"/>
        <w:i/>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C4F12E4"/>
    <w:multiLevelType w:val="hybridMultilevel"/>
    <w:tmpl w:val="DF16D8B8"/>
    <w:lvl w:ilvl="0" w:tplc="8FB0E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E40D59"/>
    <w:multiLevelType w:val="hybridMultilevel"/>
    <w:tmpl w:val="D37831A4"/>
    <w:lvl w:ilvl="0" w:tplc="B4F6D5AC">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A6809"/>
    <w:multiLevelType w:val="multilevel"/>
    <w:tmpl w:val="FA1CB0F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7DC4FE5"/>
    <w:multiLevelType w:val="multilevel"/>
    <w:tmpl w:val="8D1E3868"/>
    <w:lvl w:ilvl="0">
      <w:start w:val="1"/>
      <w:numFmt w:val="decimal"/>
      <w:lvlText w:val="%1."/>
      <w:lvlJc w:val="center"/>
      <w:pPr>
        <w:ind w:left="1069" w:hanging="360"/>
      </w:pPr>
      <w:rPr>
        <w:rFonts w:ascii="Times New Roman" w:eastAsiaTheme="minorEastAsia" w:hAnsi="Times New Roman" w:cs="Times New Roman"/>
        <w:i/>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D5A34"/>
    <w:multiLevelType w:val="hybridMultilevel"/>
    <w:tmpl w:val="668EC966"/>
    <w:lvl w:ilvl="0" w:tplc="298064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B67E1"/>
    <w:multiLevelType w:val="multilevel"/>
    <w:tmpl w:val="16EA68B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7C882F73"/>
    <w:multiLevelType w:val="multilevel"/>
    <w:tmpl w:val="1C4256F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2"/>
  </w:num>
  <w:num w:numId="2">
    <w:abstractNumId w:val="5"/>
  </w:num>
  <w:num w:numId="3">
    <w:abstractNumId w:val="2"/>
  </w:num>
  <w:num w:numId="4">
    <w:abstractNumId w:val="1"/>
  </w:num>
  <w:num w:numId="5">
    <w:abstractNumId w:val="11"/>
  </w:num>
  <w:num w:numId="6">
    <w:abstractNumId w:val="4"/>
  </w:num>
  <w:num w:numId="7">
    <w:abstractNumId w:val="3"/>
  </w:num>
  <w:num w:numId="8">
    <w:abstractNumId w:val="13"/>
  </w:num>
  <w:num w:numId="9">
    <w:abstractNumId w:val="8"/>
  </w:num>
  <w:num w:numId="10">
    <w:abstractNumId w:val="7"/>
  </w:num>
  <w:num w:numId="11">
    <w:abstractNumId w:val="6"/>
  </w:num>
  <w:num w:numId="12">
    <w:abstractNumId w:val="10"/>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5175E"/>
    <w:rsid w:val="00056D95"/>
    <w:rsid w:val="000A2926"/>
    <w:rsid w:val="000C058E"/>
    <w:rsid w:val="000D2F1C"/>
    <w:rsid w:val="00123BD6"/>
    <w:rsid w:val="00141240"/>
    <w:rsid w:val="00146EAE"/>
    <w:rsid w:val="00147BBE"/>
    <w:rsid w:val="001524F9"/>
    <w:rsid w:val="00154FD1"/>
    <w:rsid w:val="0015552E"/>
    <w:rsid w:val="0017743A"/>
    <w:rsid w:val="00185A67"/>
    <w:rsid w:val="00192B74"/>
    <w:rsid w:val="001A6300"/>
    <w:rsid w:val="001B0033"/>
    <w:rsid w:val="001C2478"/>
    <w:rsid w:val="001C2829"/>
    <w:rsid w:val="001E5FB4"/>
    <w:rsid w:val="00226BFA"/>
    <w:rsid w:val="002275E3"/>
    <w:rsid w:val="00234AD6"/>
    <w:rsid w:val="002425BC"/>
    <w:rsid w:val="002660DA"/>
    <w:rsid w:val="00267747"/>
    <w:rsid w:val="00277A62"/>
    <w:rsid w:val="00282535"/>
    <w:rsid w:val="00291DFF"/>
    <w:rsid w:val="002A197D"/>
    <w:rsid w:val="002A40DE"/>
    <w:rsid w:val="002E634F"/>
    <w:rsid w:val="003060DF"/>
    <w:rsid w:val="00355D25"/>
    <w:rsid w:val="0039007E"/>
    <w:rsid w:val="00397177"/>
    <w:rsid w:val="003B00D5"/>
    <w:rsid w:val="003D517E"/>
    <w:rsid w:val="0041460A"/>
    <w:rsid w:val="00425BD5"/>
    <w:rsid w:val="00467777"/>
    <w:rsid w:val="00497F19"/>
    <w:rsid w:val="004A43C7"/>
    <w:rsid w:val="004B50E7"/>
    <w:rsid w:val="004E01A8"/>
    <w:rsid w:val="004E267A"/>
    <w:rsid w:val="004F0583"/>
    <w:rsid w:val="005152B8"/>
    <w:rsid w:val="005424C9"/>
    <w:rsid w:val="00587091"/>
    <w:rsid w:val="005B766E"/>
    <w:rsid w:val="005C5887"/>
    <w:rsid w:val="005C7D4E"/>
    <w:rsid w:val="005D0BC5"/>
    <w:rsid w:val="005E1D84"/>
    <w:rsid w:val="005F5429"/>
    <w:rsid w:val="006225E7"/>
    <w:rsid w:val="006812CA"/>
    <w:rsid w:val="006C560A"/>
    <w:rsid w:val="006E25CE"/>
    <w:rsid w:val="006F241D"/>
    <w:rsid w:val="007121EC"/>
    <w:rsid w:val="00726D41"/>
    <w:rsid w:val="00761A68"/>
    <w:rsid w:val="00775148"/>
    <w:rsid w:val="0079330C"/>
    <w:rsid w:val="007B2EE6"/>
    <w:rsid w:val="007C2371"/>
    <w:rsid w:val="007D7CE3"/>
    <w:rsid w:val="007F172A"/>
    <w:rsid w:val="007F6D1F"/>
    <w:rsid w:val="007F7FF1"/>
    <w:rsid w:val="00803480"/>
    <w:rsid w:val="00822032"/>
    <w:rsid w:val="008256FD"/>
    <w:rsid w:val="00894D44"/>
    <w:rsid w:val="008E2D1B"/>
    <w:rsid w:val="008E4FD1"/>
    <w:rsid w:val="00906EBB"/>
    <w:rsid w:val="00920F01"/>
    <w:rsid w:val="0093238F"/>
    <w:rsid w:val="00936712"/>
    <w:rsid w:val="0093754C"/>
    <w:rsid w:val="00945C9D"/>
    <w:rsid w:val="009511AB"/>
    <w:rsid w:val="00954C5B"/>
    <w:rsid w:val="009558F1"/>
    <w:rsid w:val="00962569"/>
    <w:rsid w:val="00975A9F"/>
    <w:rsid w:val="00975B04"/>
    <w:rsid w:val="00994671"/>
    <w:rsid w:val="009B2E13"/>
    <w:rsid w:val="009D093C"/>
    <w:rsid w:val="009D0E64"/>
    <w:rsid w:val="00A0176D"/>
    <w:rsid w:val="00A05C8B"/>
    <w:rsid w:val="00A120A0"/>
    <w:rsid w:val="00A32F12"/>
    <w:rsid w:val="00A507FC"/>
    <w:rsid w:val="00A55770"/>
    <w:rsid w:val="00A6087A"/>
    <w:rsid w:val="00AB478C"/>
    <w:rsid w:val="00AB5118"/>
    <w:rsid w:val="00AD05AC"/>
    <w:rsid w:val="00AE1A74"/>
    <w:rsid w:val="00B26A9C"/>
    <w:rsid w:val="00B55375"/>
    <w:rsid w:val="00B84830"/>
    <w:rsid w:val="00BA6F55"/>
    <w:rsid w:val="00BC1104"/>
    <w:rsid w:val="00BC3349"/>
    <w:rsid w:val="00BC3937"/>
    <w:rsid w:val="00C01C5C"/>
    <w:rsid w:val="00C039EF"/>
    <w:rsid w:val="00C150B8"/>
    <w:rsid w:val="00C31213"/>
    <w:rsid w:val="00C563EF"/>
    <w:rsid w:val="00C813CE"/>
    <w:rsid w:val="00CE1A29"/>
    <w:rsid w:val="00CF1792"/>
    <w:rsid w:val="00D02945"/>
    <w:rsid w:val="00D202DF"/>
    <w:rsid w:val="00D21C5B"/>
    <w:rsid w:val="00D429EA"/>
    <w:rsid w:val="00DA4401"/>
    <w:rsid w:val="00DA5AA4"/>
    <w:rsid w:val="00DD74A1"/>
    <w:rsid w:val="00DE0A08"/>
    <w:rsid w:val="00DF31AD"/>
    <w:rsid w:val="00DF5076"/>
    <w:rsid w:val="00E00C3B"/>
    <w:rsid w:val="00E167F9"/>
    <w:rsid w:val="00E25350"/>
    <w:rsid w:val="00E26180"/>
    <w:rsid w:val="00E43850"/>
    <w:rsid w:val="00E60844"/>
    <w:rsid w:val="00E71A04"/>
    <w:rsid w:val="00E778B5"/>
    <w:rsid w:val="00E810D0"/>
    <w:rsid w:val="00E82F9A"/>
    <w:rsid w:val="00E87EDD"/>
    <w:rsid w:val="00E93BEB"/>
    <w:rsid w:val="00EB4DE5"/>
    <w:rsid w:val="00F1199A"/>
    <w:rsid w:val="00F16275"/>
    <w:rsid w:val="00F2047C"/>
    <w:rsid w:val="00F22AEF"/>
    <w:rsid w:val="00F40B7F"/>
    <w:rsid w:val="00F71192"/>
    <w:rsid w:val="00FC120A"/>
    <w:rsid w:val="00FC76D5"/>
    <w:rsid w:val="00FD0F2D"/>
    <w:rsid w:val="00FD6C00"/>
    <w:rsid w:val="00FE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80BE"/>
  <w15:docId w15:val="{BF5F8425-E590-42AD-9E86-1A39435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EF"/>
    <w:pPr>
      <w:spacing w:before="120" w:after="0" w:line="240" w:lineRule="auto"/>
      <w:ind w:firstLine="709"/>
      <w:jc w:val="both"/>
    </w:pPr>
    <w:rPr>
      <w:rFonts w:ascii="Times New Roman" w:hAnsi="Times New Roman"/>
    </w:rPr>
  </w:style>
  <w:style w:type="paragraph" w:styleId="Heading1">
    <w:name w:val="heading 1"/>
    <w:basedOn w:val="Normal"/>
    <w:next w:val="Normal"/>
    <w:link w:val="Heading1Char"/>
    <w:uiPriority w:val="9"/>
    <w:qFormat/>
    <w:rsid w:val="00F22AEF"/>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22AEF"/>
    <w:pPr>
      <w:keepNext/>
      <w:keepLines/>
      <w:ind w:firstLine="0"/>
      <w:jc w:val="left"/>
      <w:outlineLvl w:val="1"/>
    </w:pPr>
    <w:rPr>
      <w:rFonts w:eastAsiaTheme="majorEastAsia" w:cstheme="majorBidi"/>
      <w:bCs/>
      <w:color w:val="0D0D0D" w:themeColor="text1" w:themeTint="F2"/>
      <w:szCs w:val="26"/>
    </w:rPr>
  </w:style>
  <w:style w:type="paragraph" w:styleId="Heading3">
    <w:name w:val="heading 3"/>
    <w:basedOn w:val="Normal"/>
    <w:next w:val="Normal"/>
    <w:link w:val="Heading3Char"/>
    <w:uiPriority w:val="9"/>
    <w:unhideWhenUsed/>
    <w:qFormat/>
    <w:rsid w:val="00FC120A"/>
    <w:pPr>
      <w:keepNext/>
      <w:keepLines/>
      <w:spacing w:before="40"/>
      <w:jc w:val="left"/>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6F24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iPriority w:val="99"/>
    <w:unhideWhenUsed/>
    <w:rsid w:val="006225E7"/>
    <w:pPr>
      <w:tabs>
        <w:tab w:val="center" w:pos="4680"/>
        <w:tab w:val="right" w:pos="9360"/>
      </w:tabs>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F22AEF"/>
    <w:rPr>
      <w:rFonts w:ascii="Times New Roman" w:eastAsiaTheme="majorEastAsia" w:hAnsi="Times New Roman" w:cstheme="majorBidi"/>
      <w:b/>
      <w:bCs/>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F22AEF"/>
    <w:rPr>
      <w:rFonts w:ascii="Times New Roman" w:eastAsiaTheme="majorEastAsia" w:hAnsi="Times New Roman" w:cstheme="majorBidi"/>
      <w:bCs/>
      <w:color w:val="0D0D0D" w:themeColor="text1" w:themeTint="F2"/>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rsid w:val="00D429EA"/>
    <w:rPr>
      <w:rFonts w:eastAsia="Calibri" w:cs="Arial"/>
      <w:sz w:val="20"/>
      <w:lang w:eastAsia="de-DE"/>
    </w:rPr>
  </w:style>
  <w:style w:type="paragraph" w:customStyle="1" w:styleId="IF4TMheader">
    <w:name w:val="IF4TM_header"/>
    <w:basedOn w:val="IF4TMtable"/>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basedOn w:val="DefaultParagraphFont"/>
    <w:link w:val="Heading3"/>
    <w:uiPriority w:val="9"/>
    <w:rsid w:val="00FC120A"/>
    <w:rPr>
      <w:rFonts w:ascii="Times New Roman" w:eastAsiaTheme="majorEastAsia" w:hAnsi="Times New Roman"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character" w:customStyle="1" w:styleId="Heading4Char">
    <w:name w:val="Heading 4 Char"/>
    <w:basedOn w:val="DefaultParagraphFont"/>
    <w:link w:val="Heading4"/>
    <w:uiPriority w:val="9"/>
    <w:semiHidden/>
    <w:rsid w:val="006F241D"/>
    <w:rPr>
      <w:rFonts w:asciiTheme="majorHAnsi" w:eastAsiaTheme="majorEastAsia" w:hAnsiTheme="majorHAnsi" w:cstheme="majorBidi"/>
      <w:i/>
      <w:iCs/>
      <w:color w:val="365F91" w:themeColor="accent1" w:themeShade="BF"/>
    </w:rPr>
  </w:style>
  <w:style w:type="paragraph" w:styleId="NormalWeb">
    <w:name w:val="Normal (Web)"/>
    <w:basedOn w:val="Normal"/>
    <w:rsid w:val="006F241D"/>
    <w:pPr>
      <w:spacing w:before="105" w:after="240" w:line="432" w:lineRule="auto"/>
    </w:pPr>
    <w:rPr>
      <w:rFonts w:eastAsia="Calibri" w:cs="Times New Roman"/>
      <w:sz w:val="20"/>
      <w:szCs w:val="20"/>
      <w:lang w:eastAsia="de-DE"/>
    </w:rPr>
  </w:style>
  <w:style w:type="character" w:styleId="FootnoteReference">
    <w:name w:val="footnote reference"/>
    <w:basedOn w:val="DefaultParagraphFont"/>
    <w:semiHidden/>
    <w:rsid w:val="006F241D"/>
    <w:rPr>
      <w:vertAlign w:val="superscript"/>
    </w:rPr>
  </w:style>
  <w:style w:type="paragraph" w:styleId="FootnoteText">
    <w:name w:val="footnote text"/>
    <w:basedOn w:val="Normal"/>
    <w:link w:val="FootnoteTextChar"/>
    <w:semiHidden/>
    <w:rsid w:val="006F241D"/>
    <w:rPr>
      <w:rFonts w:eastAsia="Times New Roman" w:cs="Times New Roman"/>
      <w:sz w:val="20"/>
      <w:szCs w:val="20"/>
    </w:rPr>
  </w:style>
  <w:style w:type="character" w:customStyle="1" w:styleId="FootnoteTextChar">
    <w:name w:val="Footnote Text Char"/>
    <w:basedOn w:val="DefaultParagraphFont"/>
    <w:link w:val="FootnoteText"/>
    <w:semiHidden/>
    <w:rsid w:val="006F241D"/>
    <w:rPr>
      <w:rFonts w:ascii="Times New Roman" w:eastAsia="Times New Roman" w:hAnsi="Times New Roman" w:cs="Times New Roman"/>
      <w:sz w:val="20"/>
      <w:szCs w:val="20"/>
    </w:rPr>
  </w:style>
  <w:style w:type="paragraph" w:styleId="BodyText">
    <w:name w:val="Body Text"/>
    <w:basedOn w:val="Normal"/>
    <w:link w:val="BodyTextChar"/>
    <w:rsid w:val="006F241D"/>
    <w:pPr>
      <w:jc w:val="center"/>
    </w:pPr>
    <w:rPr>
      <w:rFonts w:eastAsia="Times New Roman" w:cs="Times New Roman"/>
      <w:b/>
      <w:sz w:val="28"/>
      <w:szCs w:val="24"/>
      <w:lang w:val="en-GB"/>
    </w:rPr>
  </w:style>
  <w:style w:type="character" w:customStyle="1" w:styleId="BodyTextChar">
    <w:name w:val="Body Text Char"/>
    <w:basedOn w:val="DefaultParagraphFont"/>
    <w:link w:val="BodyText"/>
    <w:rsid w:val="006F241D"/>
    <w:rPr>
      <w:rFonts w:ascii="Times New Roman" w:eastAsia="Times New Roman" w:hAnsi="Times New Roman" w:cs="Times New Roman"/>
      <w:b/>
      <w:sz w:val="28"/>
      <w:szCs w:val="24"/>
      <w:lang w:val="en-GB"/>
    </w:rPr>
  </w:style>
  <w:style w:type="character" w:styleId="Emphasis">
    <w:name w:val="Emphasis"/>
    <w:basedOn w:val="DefaultParagraphFont"/>
    <w:qFormat/>
    <w:rsid w:val="006F241D"/>
    <w:rPr>
      <w:i/>
      <w:iCs/>
    </w:rPr>
  </w:style>
  <w:style w:type="paragraph" w:styleId="HTMLPreformatted">
    <w:name w:val="HTML Preformatted"/>
    <w:basedOn w:val="Normal"/>
    <w:link w:val="HTMLPreformattedChar"/>
    <w:rsid w:val="006F2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F241D"/>
    <w:rPr>
      <w:rFonts w:ascii="Courier New" w:eastAsia="Times New Roman" w:hAnsi="Courier New" w:cs="Courier New"/>
      <w:sz w:val="20"/>
      <w:szCs w:val="20"/>
    </w:rPr>
  </w:style>
  <w:style w:type="paragraph" w:styleId="ListParagraph">
    <w:name w:val="List Paragraph"/>
    <w:basedOn w:val="Normal"/>
    <w:uiPriority w:val="34"/>
    <w:qFormat/>
    <w:rsid w:val="00CE1A29"/>
    <w:pPr>
      <w:ind w:left="720" w:firstLine="0"/>
      <w:contextualSpacing/>
      <w:jc w:val="left"/>
    </w:pPr>
    <w:rPr>
      <w:rFonts w:ascii="Arial" w:eastAsiaTheme="minorEastAsia" w:hAnsi="Arial"/>
      <w:sz w:val="24"/>
      <w:szCs w:val="24"/>
      <w:lang w:val="hr-HR"/>
    </w:rPr>
  </w:style>
  <w:style w:type="paragraph" w:customStyle="1" w:styleId="Default">
    <w:name w:val="Default"/>
    <w:rsid w:val="00CE1A29"/>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next w:val="Normal"/>
    <w:link w:val="TitleChar"/>
    <w:uiPriority w:val="10"/>
    <w:qFormat/>
    <w:rsid w:val="00D02945"/>
    <w:pPr>
      <w:pBdr>
        <w:bottom w:val="single" w:sz="8" w:space="4" w:color="4F81BD" w:themeColor="accent1"/>
      </w:pBdr>
      <w:spacing w:after="300"/>
      <w:ind w:firstLine="0"/>
      <w:contextualSpacing/>
      <w:jc w:val="left"/>
    </w:pPr>
    <w:rPr>
      <w:rFonts w:asciiTheme="majorHAnsi" w:eastAsiaTheme="majorEastAsia" w:hAnsiTheme="majorHAnsi" w:cstheme="majorBidi"/>
      <w:color w:val="17365D" w:themeColor="text2" w:themeShade="BF"/>
      <w:spacing w:val="5"/>
      <w:kern w:val="28"/>
      <w:sz w:val="52"/>
      <w:szCs w:val="52"/>
      <w:lang w:val="hr-HR"/>
    </w:rPr>
  </w:style>
  <w:style w:type="character" w:customStyle="1" w:styleId="TitleChar">
    <w:name w:val="Title Char"/>
    <w:basedOn w:val="DefaultParagraphFont"/>
    <w:link w:val="Title"/>
    <w:uiPriority w:val="10"/>
    <w:rsid w:val="00D02945"/>
    <w:rPr>
      <w:rFonts w:asciiTheme="majorHAnsi" w:eastAsiaTheme="majorEastAsia" w:hAnsiTheme="majorHAnsi" w:cstheme="majorBidi"/>
      <w:color w:val="17365D" w:themeColor="text2" w:themeShade="BF"/>
      <w:spacing w:val="5"/>
      <w:kern w:val="28"/>
      <w:sz w:val="52"/>
      <w:szCs w:val="52"/>
      <w:lang w:val="hr-HR"/>
    </w:rPr>
  </w:style>
  <w:style w:type="character" w:customStyle="1" w:styleId="tlid-translation">
    <w:name w:val="tlid-translation"/>
    <w:basedOn w:val="DefaultParagraphFont"/>
    <w:rsid w:val="00DE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680163685">
      <w:bodyDiv w:val="1"/>
      <w:marLeft w:val="0"/>
      <w:marRight w:val="0"/>
      <w:marTop w:val="0"/>
      <w:marBottom w:val="0"/>
      <w:divBdr>
        <w:top w:val="none" w:sz="0" w:space="0" w:color="auto"/>
        <w:left w:val="none" w:sz="0" w:space="0" w:color="auto"/>
        <w:bottom w:val="none" w:sz="0" w:space="0" w:color="auto"/>
        <w:right w:val="none" w:sz="0" w:space="0" w:color="auto"/>
      </w:divBdr>
    </w:div>
    <w:div w:id="1120877315">
      <w:bodyDiv w:val="1"/>
      <w:marLeft w:val="0"/>
      <w:marRight w:val="0"/>
      <w:marTop w:val="0"/>
      <w:marBottom w:val="0"/>
      <w:divBdr>
        <w:top w:val="none" w:sz="0" w:space="0" w:color="auto"/>
        <w:left w:val="none" w:sz="0" w:space="0" w:color="auto"/>
        <w:bottom w:val="none" w:sz="0" w:space="0" w:color="auto"/>
        <w:right w:val="none" w:sz="0" w:space="0" w:color="auto"/>
      </w:divBdr>
    </w:div>
    <w:div w:id="1310093378">
      <w:bodyDiv w:val="1"/>
      <w:marLeft w:val="0"/>
      <w:marRight w:val="0"/>
      <w:marTop w:val="0"/>
      <w:marBottom w:val="0"/>
      <w:divBdr>
        <w:top w:val="none" w:sz="0" w:space="0" w:color="auto"/>
        <w:left w:val="none" w:sz="0" w:space="0" w:color="auto"/>
        <w:bottom w:val="none" w:sz="0" w:space="0" w:color="auto"/>
        <w:right w:val="none" w:sz="0" w:space="0" w:color="auto"/>
      </w:divBdr>
    </w:div>
    <w:div w:id="19072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A4EB-BB70-4B55-A656-009CEE14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Bojana Trebinjac</cp:lastModifiedBy>
  <cp:revision>8</cp:revision>
  <dcterms:created xsi:type="dcterms:W3CDTF">2019-04-05T09:51:00Z</dcterms:created>
  <dcterms:modified xsi:type="dcterms:W3CDTF">2019-04-06T10:06:00Z</dcterms:modified>
</cp:coreProperties>
</file>