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D2F" w:rsidRPr="00897FC9" w:rsidRDefault="008137B8" w:rsidP="008137B8">
      <w:pPr>
        <w:pStyle w:val="Title"/>
        <w:jc w:val="center"/>
        <w:rPr>
          <w:rStyle w:val="Strong"/>
          <w:sz w:val="44"/>
          <w:szCs w:val="44"/>
          <w:lang w:val="sr-Cyrl-RS"/>
        </w:rPr>
      </w:pPr>
      <w:r w:rsidRPr="00897FC9">
        <w:rPr>
          <w:rStyle w:val="Strong"/>
          <w:sz w:val="44"/>
          <w:szCs w:val="44"/>
          <w:lang w:val="sr-Cyrl-RS"/>
        </w:rPr>
        <w:t>ПРЕДЛОГ</w:t>
      </w:r>
      <w:r w:rsidR="006A5D2F" w:rsidRPr="00897FC9">
        <w:rPr>
          <w:rStyle w:val="Strong"/>
          <w:sz w:val="44"/>
          <w:szCs w:val="44"/>
          <w:lang w:val="sr-Cyrl-RS"/>
        </w:rPr>
        <w:t xml:space="preserve"> КОНЦЕПТА СТУД</w:t>
      </w:r>
      <w:r w:rsidR="00897FC9" w:rsidRPr="00897FC9">
        <w:rPr>
          <w:rStyle w:val="Strong"/>
          <w:sz w:val="44"/>
          <w:szCs w:val="44"/>
          <w:lang w:val="sr-Cyrl-RS"/>
        </w:rPr>
        <w:t>И</w:t>
      </w:r>
      <w:r w:rsidR="006A5D2F" w:rsidRPr="00897FC9">
        <w:rPr>
          <w:rStyle w:val="Strong"/>
          <w:sz w:val="44"/>
          <w:szCs w:val="44"/>
          <w:lang w:val="sr-Cyrl-RS"/>
        </w:rPr>
        <w:t>РАЊА У</w:t>
      </w:r>
      <w:r w:rsidR="006B2BA7" w:rsidRPr="00897FC9">
        <w:rPr>
          <w:rStyle w:val="Strong"/>
          <w:sz w:val="44"/>
          <w:szCs w:val="44"/>
          <w:lang w:val="sr-Cyrl-RS"/>
        </w:rPr>
        <w:t>З</w:t>
      </w:r>
      <w:r w:rsidR="006A5D2F" w:rsidRPr="00897FC9">
        <w:rPr>
          <w:rStyle w:val="Strong"/>
          <w:sz w:val="44"/>
          <w:szCs w:val="44"/>
          <w:lang w:val="sr-Cyrl-RS"/>
        </w:rPr>
        <w:t xml:space="preserve"> РАД</w:t>
      </w:r>
    </w:p>
    <w:p w:rsidR="006A5D2F" w:rsidRPr="006B2BA7" w:rsidRDefault="006A5D2F" w:rsidP="0055593B">
      <w:pPr>
        <w:pStyle w:val="Heading1"/>
        <w:rPr>
          <w:lang w:val="sr-Cyrl-RS"/>
        </w:rPr>
      </w:pPr>
      <w:r w:rsidRPr="006B2BA7">
        <w:rPr>
          <w:lang w:val="sr-Cyrl-RS"/>
        </w:rPr>
        <w:t>Циљ</w:t>
      </w:r>
    </w:p>
    <w:p w:rsidR="006B2BA7" w:rsidRPr="008137B8" w:rsidRDefault="006B2BA7" w:rsidP="006B2BA7">
      <w:pPr>
        <w:rPr>
          <w:sz w:val="24"/>
          <w:szCs w:val="24"/>
          <w:lang w:val="sr-Cyrl-RS"/>
        </w:rPr>
      </w:pPr>
    </w:p>
    <w:p w:rsidR="006A5D2F" w:rsidRPr="008137B8" w:rsidRDefault="006A5D2F" w:rsidP="006A5D2F">
      <w:pPr>
        <w:jc w:val="both"/>
        <w:rPr>
          <w:sz w:val="24"/>
          <w:szCs w:val="24"/>
          <w:lang w:val="sr-Cyrl-RS"/>
        </w:rPr>
      </w:pPr>
      <w:r w:rsidRPr="008137B8">
        <w:rPr>
          <w:sz w:val="24"/>
          <w:szCs w:val="24"/>
          <w:lang w:val="sr-Cyrl-RS"/>
        </w:rPr>
        <w:t>Студирање уз рад треба да омогући запосленим грађанима да студирају исте</w:t>
      </w:r>
      <w:r w:rsidR="006B2BA7" w:rsidRPr="008137B8">
        <w:rPr>
          <w:sz w:val="24"/>
          <w:szCs w:val="24"/>
          <w:lang w:val="sr-Cyrl-RS"/>
        </w:rPr>
        <w:t xml:space="preserve"> </w:t>
      </w:r>
      <w:r w:rsidRPr="008137B8">
        <w:rPr>
          <w:sz w:val="24"/>
          <w:szCs w:val="24"/>
          <w:lang w:val="sr-Cyrl-RS"/>
        </w:rPr>
        <w:t xml:space="preserve">студијске програме на основним (ОАС, ОСС) и мастер (МАС, МСС) студијама, на којим студирају редовни, незапослени студенти и да на тај начин стекну дипломе о завршеним </w:t>
      </w:r>
      <w:r w:rsidRPr="008137B8">
        <w:rPr>
          <w:i/>
          <w:sz w:val="24"/>
          <w:szCs w:val="24"/>
          <w:lang w:val="sr-Cyrl-RS"/>
        </w:rPr>
        <w:t>основним и мастер студијама</w:t>
      </w:r>
      <w:r w:rsidRPr="008137B8">
        <w:rPr>
          <w:sz w:val="24"/>
          <w:szCs w:val="24"/>
          <w:lang w:val="sr-Cyrl-RS"/>
        </w:rPr>
        <w:t>.</w:t>
      </w:r>
    </w:p>
    <w:p w:rsidR="006A5D2F" w:rsidRPr="008137B8" w:rsidRDefault="006A5D2F" w:rsidP="006A5D2F">
      <w:pPr>
        <w:jc w:val="both"/>
        <w:rPr>
          <w:sz w:val="24"/>
          <w:szCs w:val="24"/>
          <w:lang w:val="sr-Cyrl-RS"/>
        </w:rPr>
      </w:pPr>
      <w:r w:rsidRPr="008137B8">
        <w:rPr>
          <w:sz w:val="24"/>
          <w:szCs w:val="24"/>
          <w:lang w:val="sr-Cyrl-RS"/>
        </w:rPr>
        <w:t>Режим студија запослених студената треба да буде прилагођен њиховим специфичним и ограниченим временским могућностима.</w:t>
      </w:r>
    </w:p>
    <w:p w:rsidR="006A5D2F" w:rsidRPr="008137B8" w:rsidRDefault="006A5D2F" w:rsidP="006A5D2F">
      <w:pPr>
        <w:jc w:val="both"/>
        <w:rPr>
          <w:sz w:val="24"/>
          <w:szCs w:val="24"/>
          <w:lang w:val="sr-Cyrl-RS"/>
        </w:rPr>
      </w:pPr>
      <w:r w:rsidRPr="008137B8">
        <w:rPr>
          <w:sz w:val="24"/>
          <w:szCs w:val="24"/>
          <w:lang w:val="sr-Cyrl-RS"/>
        </w:rPr>
        <w:t>Поред основних и мастер студија, запосленим студентима треба омогућити и посебне услове студирањ</w:t>
      </w:r>
      <w:r w:rsidR="003A30B7" w:rsidRPr="008137B8">
        <w:rPr>
          <w:sz w:val="24"/>
          <w:szCs w:val="24"/>
          <w:lang w:val="sr-Cyrl-RS"/>
        </w:rPr>
        <w:t>а</w:t>
      </w:r>
      <w:r w:rsidRPr="008137B8">
        <w:rPr>
          <w:sz w:val="24"/>
          <w:szCs w:val="24"/>
          <w:lang w:val="sr-Cyrl-RS"/>
        </w:rPr>
        <w:t xml:space="preserve"> и  у случају примене кратк</w:t>
      </w:r>
      <w:r w:rsidR="006B2BA7" w:rsidRPr="008137B8">
        <w:rPr>
          <w:sz w:val="24"/>
          <w:szCs w:val="24"/>
          <w:lang w:val="sr-Cyrl-RS"/>
        </w:rPr>
        <w:t>и</w:t>
      </w:r>
      <w:r w:rsidRPr="008137B8">
        <w:rPr>
          <w:sz w:val="24"/>
          <w:szCs w:val="24"/>
          <w:lang w:val="sr-Cyrl-RS"/>
        </w:rPr>
        <w:t xml:space="preserve">х програма (енгл., </w:t>
      </w:r>
      <w:proofErr w:type="spellStart"/>
      <w:r w:rsidRPr="008137B8">
        <w:rPr>
          <w:sz w:val="24"/>
          <w:szCs w:val="24"/>
          <w:lang w:val="sr-Cyrl-RS"/>
        </w:rPr>
        <w:t>short-cycle</w:t>
      </w:r>
      <w:proofErr w:type="spellEnd"/>
      <w:r w:rsidRPr="008137B8">
        <w:rPr>
          <w:sz w:val="24"/>
          <w:szCs w:val="24"/>
          <w:lang w:val="sr-Cyrl-RS"/>
        </w:rPr>
        <w:t xml:space="preserve"> </w:t>
      </w:r>
      <w:proofErr w:type="spellStart"/>
      <w:r w:rsidRPr="008137B8">
        <w:rPr>
          <w:sz w:val="24"/>
          <w:szCs w:val="24"/>
          <w:lang w:val="sr-Cyrl-RS"/>
        </w:rPr>
        <w:t>programs</w:t>
      </w:r>
      <w:proofErr w:type="spellEnd"/>
      <w:r w:rsidRPr="008137B8">
        <w:rPr>
          <w:sz w:val="24"/>
          <w:szCs w:val="24"/>
          <w:lang w:val="sr-Cyrl-RS"/>
        </w:rPr>
        <w:t xml:space="preserve">). </w:t>
      </w:r>
    </w:p>
    <w:p w:rsidR="006A5D2F" w:rsidRPr="008137B8" w:rsidRDefault="006A5D2F" w:rsidP="006C0A8C">
      <w:pPr>
        <w:pStyle w:val="Heading1"/>
        <w:rPr>
          <w:lang w:val="sr-Cyrl-RS"/>
        </w:rPr>
      </w:pPr>
      <w:r w:rsidRPr="008137B8">
        <w:rPr>
          <w:lang w:val="sr-Cyrl-RS"/>
        </w:rPr>
        <w:t>Флексибилност студирања – три облика студирања</w:t>
      </w:r>
    </w:p>
    <w:p w:rsidR="003A30B7" w:rsidRPr="008137B8" w:rsidRDefault="003A30B7" w:rsidP="003A30B7">
      <w:pPr>
        <w:rPr>
          <w:sz w:val="24"/>
          <w:szCs w:val="24"/>
          <w:lang w:val="sr-Cyrl-RS"/>
        </w:rPr>
      </w:pPr>
    </w:p>
    <w:p w:rsidR="006A5D2F" w:rsidRPr="008137B8" w:rsidRDefault="006A5D2F" w:rsidP="006A5D2F">
      <w:pPr>
        <w:jc w:val="both"/>
        <w:rPr>
          <w:sz w:val="24"/>
          <w:szCs w:val="24"/>
          <w:lang w:val="sr-Cyrl-RS"/>
        </w:rPr>
      </w:pPr>
      <w:r w:rsidRPr="008137B8">
        <w:rPr>
          <w:sz w:val="24"/>
          <w:szCs w:val="24"/>
          <w:lang w:val="sr-Cyrl-RS"/>
        </w:rPr>
        <w:t>Како се очекује да око 50% матураната (ученика са завршеном четворогодишњом сре</w:t>
      </w:r>
      <w:r w:rsidR="003A30B7" w:rsidRPr="008137B8">
        <w:rPr>
          <w:sz w:val="24"/>
          <w:szCs w:val="24"/>
          <w:lang w:val="sr-Cyrl-RS"/>
        </w:rPr>
        <w:t>д</w:t>
      </w:r>
      <w:r w:rsidRPr="008137B8">
        <w:rPr>
          <w:sz w:val="24"/>
          <w:szCs w:val="24"/>
          <w:lang w:val="sr-Cyrl-RS"/>
        </w:rPr>
        <w:t>њом школом) настави своје образовање одмах после матуре, или касније у свом животу, то високо обра</w:t>
      </w:r>
      <w:r w:rsidR="003A30B7" w:rsidRPr="008137B8">
        <w:rPr>
          <w:sz w:val="24"/>
          <w:szCs w:val="24"/>
          <w:lang w:val="sr-Cyrl-RS"/>
        </w:rPr>
        <w:t>з</w:t>
      </w:r>
      <w:r w:rsidRPr="008137B8">
        <w:rPr>
          <w:sz w:val="24"/>
          <w:szCs w:val="24"/>
          <w:lang w:val="sr-Cyrl-RS"/>
        </w:rPr>
        <w:t>овање треба да обезбеди флексибилност сту</w:t>
      </w:r>
      <w:r w:rsidR="003A30B7" w:rsidRPr="008137B8">
        <w:rPr>
          <w:sz w:val="24"/>
          <w:szCs w:val="24"/>
          <w:lang w:val="sr-Cyrl-RS"/>
        </w:rPr>
        <w:t>д</w:t>
      </w:r>
      <w:r w:rsidRPr="008137B8">
        <w:rPr>
          <w:sz w:val="24"/>
          <w:szCs w:val="24"/>
          <w:lang w:val="sr-Cyrl-RS"/>
        </w:rPr>
        <w:t>ија. У том смислу, треба да омогући:</w:t>
      </w:r>
    </w:p>
    <w:p w:rsidR="006A5D2F" w:rsidRPr="008137B8" w:rsidRDefault="006A5D2F" w:rsidP="0055593B">
      <w:pPr>
        <w:pStyle w:val="ListParagraph"/>
        <w:numPr>
          <w:ilvl w:val="0"/>
          <w:numId w:val="10"/>
        </w:numPr>
        <w:jc w:val="both"/>
        <w:rPr>
          <w:lang w:val="sr-Cyrl-RS"/>
        </w:rPr>
      </w:pPr>
      <w:r w:rsidRPr="008137B8">
        <w:rPr>
          <w:b/>
          <w:lang w:val="sr-Cyrl-RS"/>
        </w:rPr>
        <w:t>Редовно студирање:</w:t>
      </w:r>
      <w:r w:rsidRPr="008137B8">
        <w:rPr>
          <w:lang w:val="sr-Cyrl-RS"/>
        </w:rPr>
        <w:t xml:space="preserve"> Студент није запослен, студира 40 сати недељно (од тога 50 у виду активне наставе) и остварује 60 ЕСПБ годишње.</w:t>
      </w:r>
    </w:p>
    <w:p w:rsidR="006A5D2F" w:rsidRPr="008137B8" w:rsidRDefault="006A5D2F" w:rsidP="0055593B">
      <w:pPr>
        <w:pStyle w:val="ListParagraph"/>
        <w:numPr>
          <w:ilvl w:val="0"/>
          <w:numId w:val="10"/>
        </w:numPr>
        <w:jc w:val="both"/>
        <w:rPr>
          <w:lang w:val="sr-Cyrl-RS"/>
        </w:rPr>
      </w:pPr>
      <w:r w:rsidRPr="008137B8">
        <w:rPr>
          <w:b/>
          <w:lang w:val="sr-Cyrl-RS"/>
        </w:rPr>
        <w:t>Студирање уз рад (успорено студирање):</w:t>
      </w:r>
      <w:r w:rsidRPr="008137B8">
        <w:rPr>
          <w:lang w:val="sr-Cyrl-RS"/>
        </w:rPr>
        <w:t xml:space="preserve"> Студент је запослен (пуно или делимично радно време, сталан или повремен посао), или због других, личних разлога, не може да оствари захтеве ре</w:t>
      </w:r>
      <w:r w:rsidR="0059403E" w:rsidRPr="008137B8">
        <w:rPr>
          <w:lang w:val="sr-Cyrl-RS"/>
        </w:rPr>
        <w:t>д</w:t>
      </w:r>
      <w:r w:rsidRPr="008137B8">
        <w:rPr>
          <w:lang w:val="sr-Cyrl-RS"/>
        </w:rPr>
        <w:t>овног студирања (инвалидност, бављење професионалним спортом, и др.) успорено студира, јер може да посвети студирању највише 15 до 20 сати недељно.</w:t>
      </w:r>
    </w:p>
    <w:p w:rsidR="006A5D2F" w:rsidRPr="008137B8" w:rsidRDefault="006A5D2F" w:rsidP="0055593B">
      <w:pPr>
        <w:pStyle w:val="ListParagraph"/>
        <w:numPr>
          <w:ilvl w:val="0"/>
          <w:numId w:val="10"/>
        </w:numPr>
        <w:jc w:val="both"/>
        <w:rPr>
          <w:lang w:val="sr-Cyrl-RS"/>
        </w:rPr>
      </w:pPr>
      <w:r w:rsidRPr="008137B8">
        <w:rPr>
          <w:b/>
          <w:lang w:val="sr-Cyrl-RS"/>
        </w:rPr>
        <w:t xml:space="preserve">Убрзано студирање: </w:t>
      </w:r>
      <w:r w:rsidRPr="008137B8">
        <w:rPr>
          <w:lang w:val="sr-Cyrl-RS"/>
        </w:rPr>
        <w:t>Студенти који желе из било ког разлога (имају таленат и способност, имају неку потреби и жељу и</w:t>
      </w:r>
      <w:r w:rsidR="0059403E" w:rsidRPr="008137B8">
        <w:rPr>
          <w:lang w:val="sr-Cyrl-RS"/>
        </w:rPr>
        <w:t xml:space="preserve"> </w:t>
      </w:r>
      <w:r w:rsidRPr="008137B8">
        <w:rPr>
          <w:lang w:val="sr-Cyrl-RS"/>
        </w:rPr>
        <w:t xml:space="preserve">сл.), да </w:t>
      </w:r>
      <w:r w:rsidR="0059403E" w:rsidRPr="008137B8">
        <w:rPr>
          <w:lang w:val="sr-Cyrl-RS"/>
        </w:rPr>
        <w:t>з</w:t>
      </w:r>
      <w:r w:rsidRPr="008137B8">
        <w:rPr>
          <w:lang w:val="sr-Cyrl-RS"/>
        </w:rPr>
        <w:t xml:space="preserve">аврше студије у краћем временском периоду него што омогућава редовно студирање. Убрзано </w:t>
      </w:r>
      <w:r w:rsidRPr="008137B8">
        <w:rPr>
          <w:lang w:val="sr-Cyrl-RS"/>
        </w:rPr>
        <w:lastRenderedPageBreak/>
        <w:t xml:space="preserve">студирање не може да студенту обезбеди просечно више од 50% ЕСПБ </w:t>
      </w:r>
      <w:proofErr w:type="spellStart"/>
      <w:r w:rsidRPr="008137B8">
        <w:rPr>
          <w:lang w:val="sr-Cyrl-RS"/>
        </w:rPr>
        <w:t>пре</w:t>
      </w:r>
      <w:r w:rsidR="0059403E" w:rsidRPr="008137B8">
        <w:rPr>
          <w:lang w:val="sr-Cyrl-RS"/>
        </w:rPr>
        <w:t>двиђених</w:t>
      </w:r>
      <w:proofErr w:type="spellEnd"/>
      <w:r w:rsidR="0059403E" w:rsidRPr="008137B8">
        <w:rPr>
          <w:lang w:val="sr-Cyrl-RS"/>
        </w:rPr>
        <w:t xml:space="preserve"> за редовно ст</w:t>
      </w:r>
      <w:r w:rsidRPr="008137B8">
        <w:rPr>
          <w:lang w:val="sr-Cyrl-RS"/>
        </w:rPr>
        <w:t>у</w:t>
      </w:r>
      <w:r w:rsidR="0059403E" w:rsidRPr="008137B8">
        <w:rPr>
          <w:lang w:val="sr-Cyrl-RS"/>
        </w:rPr>
        <w:t>д</w:t>
      </w:r>
      <w:r w:rsidRPr="008137B8">
        <w:rPr>
          <w:lang w:val="sr-Cyrl-RS"/>
        </w:rPr>
        <w:t>ирање, тј. до 90 ЕСПБ годишње,  односно, у случају студирања уз рад, до 45 ЕСПБ годишње. Убрзано студирање мора да оствари исти кв</w:t>
      </w:r>
      <w:r w:rsidR="0059403E" w:rsidRPr="008137B8">
        <w:rPr>
          <w:lang w:val="sr-Cyrl-RS"/>
        </w:rPr>
        <w:t xml:space="preserve">алитет образовања као што </w:t>
      </w:r>
      <w:r w:rsidRPr="008137B8">
        <w:rPr>
          <w:lang w:val="sr-Cyrl-RS"/>
        </w:rPr>
        <w:t>остваруј</w:t>
      </w:r>
      <w:r w:rsidR="0059403E" w:rsidRPr="008137B8">
        <w:rPr>
          <w:lang w:val="sr-Cyrl-RS"/>
        </w:rPr>
        <w:t>у редовне студије. Пошто убрзан</w:t>
      </w:r>
      <w:r w:rsidRPr="008137B8">
        <w:rPr>
          <w:lang w:val="sr-Cyrl-RS"/>
        </w:rPr>
        <w:t>о студирање не мора да</w:t>
      </w:r>
      <w:r w:rsidR="0059403E" w:rsidRPr="008137B8">
        <w:rPr>
          <w:lang w:val="sr-Cyrl-RS"/>
        </w:rPr>
        <w:t xml:space="preserve"> </w:t>
      </w:r>
      <w:r w:rsidRPr="008137B8">
        <w:rPr>
          <w:lang w:val="sr-Cyrl-RS"/>
        </w:rPr>
        <w:t>буде привилегија само талентованих и посебно обдарен</w:t>
      </w:r>
      <w:r w:rsidR="0059403E" w:rsidRPr="008137B8">
        <w:rPr>
          <w:lang w:val="sr-Cyrl-RS"/>
        </w:rPr>
        <w:t>и</w:t>
      </w:r>
      <w:r w:rsidRPr="008137B8">
        <w:rPr>
          <w:lang w:val="sr-Cyrl-RS"/>
        </w:rPr>
        <w:t>х студената, просек оцена не треба да буде предуслов за овај начин студирања. На пример, високошколска установа може да органи</w:t>
      </w:r>
      <w:r w:rsidR="0059403E" w:rsidRPr="008137B8">
        <w:rPr>
          <w:lang w:val="sr-Cyrl-RS"/>
        </w:rPr>
        <w:t>з</w:t>
      </w:r>
      <w:r w:rsidRPr="008137B8">
        <w:rPr>
          <w:lang w:val="sr-Cyrl-RS"/>
        </w:rPr>
        <w:t>ује и тре</w:t>
      </w:r>
      <w:r w:rsidR="0059403E" w:rsidRPr="008137B8">
        <w:rPr>
          <w:lang w:val="sr-Cyrl-RS"/>
        </w:rPr>
        <w:t>ћ</w:t>
      </w:r>
      <w:r w:rsidRPr="008137B8">
        <w:rPr>
          <w:lang w:val="sr-Cyrl-RS"/>
        </w:rPr>
        <w:t xml:space="preserve">и, летњи семестар, </w:t>
      </w:r>
      <w:r w:rsidR="00A17031" w:rsidRPr="008137B8">
        <w:rPr>
          <w:lang w:val="sr-Cyrl-RS"/>
        </w:rPr>
        <w:t>з</w:t>
      </w:r>
      <w:r w:rsidRPr="008137B8">
        <w:rPr>
          <w:lang w:val="sr-Cyrl-RS"/>
        </w:rPr>
        <w:t>а оне студенте који желе убр</w:t>
      </w:r>
      <w:r w:rsidR="00A17031" w:rsidRPr="008137B8">
        <w:rPr>
          <w:lang w:val="sr-Cyrl-RS"/>
        </w:rPr>
        <w:t>з</w:t>
      </w:r>
      <w:r w:rsidRPr="008137B8">
        <w:rPr>
          <w:lang w:val="sr-Cyrl-RS"/>
        </w:rPr>
        <w:t xml:space="preserve">ано студирање, одн. Да применом </w:t>
      </w:r>
      <w:proofErr w:type="spellStart"/>
      <w:r w:rsidRPr="008137B8">
        <w:rPr>
          <w:lang w:val="sr-Cyrl-RS"/>
        </w:rPr>
        <w:t>онлајн</w:t>
      </w:r>
      <w:proofErr w:type="spellEnd"/>
      <w:r w:rsidRPr="008137B8">
        <w:rPr>
          <w:lang w:val="sr-Cyrl-RS"/>
        </w:rPr>
        <w:t xml:space="preserve"> студирања (поже</w:t>
      </w:r>
      <w:r w:rsidR="00A17031" w:rsidRPr="008137B8">
        <w:rPr>
          <w:lang w:val="sr-Cyrl-RS"/>
        </w:rPr>
        <w:t>љ</w:t>
      </w:r>
      <w:r w:rsidRPr="008137B8">
        <w:rPr>
          <w:lang w:val="sr-Cyrl-RS"/>
        </w:rPr>
        <w:t>ан облик студирања на даљину) омогући студентима да стекну и до 90 ЕСПБ годишње.</w:t>
      </w:r>
    </w:p>
    <w:p w:rsidR="006A5D2F" w:rsidRPr="008137B8" w:rsidRDefault="006A5D2F" w:rsidP="006A5D2F">
      <w:pPr>
        <w:jc w:val="both"/>
        <w:rPr>
          <w:sz w:val="24"/>
          <w:szCs w:val="24"/>
          <w:lang w:val="sr-Cyrl-RS"/>
        </w:rPr>
      </w:pPr>
      <w:r w:rsidRPr="008137B8">
        <w:rPr>
          <w:sz w:val="24"/>
          <w:szCs w:val="24"/>
          <w:lang w:val="sr-Cyrl-RS"/>
        </w:rPr>
        <w:t>Како се околности код неког студента могу мења</w:t>
      </w:r>
      <w:r w:rsidR="00A17031" w:rsidRPr="008137B8">
        <w:rPr>
          <w:sz w:val="24"/>
          <w:szCs w:val="24"/>
          <w:lang w:val="sr-Cyrl-RS"/>
        </w:rPr>
        <w:t>ти</w:t>
      </w:r>
      <w:r w:rsidRPr="008137B8">
        <w:rPr>
          <w:sz w:val="24"/>
          <w:szCs w:val="24"/>
          <w:lang w:val="sr-Cyrl-RS"/>
        </w:rPr>
        <w:t xml:space="preserve"> током студирања, систем високог образовања треба да омогући његов прелазак из једног у други облик студирања, тј. један од наведена три облика студирања. Високошколска установа (ВШУ) својим општим актом мора да предвиди услове прела</w:t>
      </w:r>
      <w:r w:rsidR="00A17031" w:rsidRPr="008137B8">
        <w:rPr>
          <w:sz w:val="24"/>
          <w:szCs w:val="24"/>
          <w:lang w:val="sr-Cyrl-RS"/>
        </w:rPr>
        <w:t>с</w:t>
      </w:r>
      <w:r w:rsidRPr="008137B8">
        <w:rPr>
          <w:sz w:val="24"/>
          <w:szCs w:val="24"/>
          <w:lang w:val="sr-Cyrl-RS"/>
        </w:rPr>
        <w:t xml:space="preserve">ка </w:t>
      </w:r>
      <w:r w:rsidR="00A17031" w:rsidRPr="008137B8">
        <w:rPr>
          <w:sz w:val="24"/>
          <w:szCs w:val="24"/>
          <w:lang w:val="sr-Cyrl-RS"/>
        </w:rPr>
        <w:t>з</w:t>
      </w:r>
      <w:r w:rsidRPr="008137B8">
        <w:rPr>
          <w:sz w:val="24"/>
          <w:szCs w:val="24"/>
          <w:lang w:val="sr-Cyrl-RS"/>
        </w:rPr>
        <w:t xml:space="preserve">а сваки од три облика студирања, ако су предвиђени њеним статутом. ВШУ није обавезна да нуди више од једног од наведена три облика студирања. </w:t>
      </w:r>
    </w:p>
    <w:p w:rsidR="006A5D2F" w:rsidRPr="008137B8" w:rsidRDefault="006A5D2F" w:rsidP="006A5D2F">
      <w:pPr>
        <w:jc w:val="both"/>
        <w:rPr>
          <w:sz w:val="24"/>
          <w:szCs w:val="24"/>
          <w:lang w:val="sr-Cyrl-RS"/>
        </w:rPr>
      </w:pPr>
      <w:r w:rsidRPr="008137B8">
        <w:rPr>
          <w:sz w:val="24"/>
          <w:szCs w:val="24"/>
          <w:lang w:val="sr-Cyrl-RS"/>
        </w:rPr>
        <w:t>Један студијски програм може да се реализује у једном, два или сва три облика образовања, и без</w:t>
      </w:r>
      <w:r w:rsidR="00A17031" w:rsidRPr="008137B8">
        <w:rPr>
          <w:sz w:val="24"/>
          <w:szCs w:val="24"/>
          <w:lang w:val="sr-Cyrl-RS"/>
        </w:rPr>
        <w:t xml:space="preserve"> </w:t>
      </w:r>
      <w:r w:rsidRPr="008137B8">
        <w:rPr>
          <w:sz w:val="24"/>
          <w:szCs w:val="24"/>
          <w:lang w:val="sr-Cyrl-RS"/>
        </w:rPr>
        <w:t>обзира на о</w:t>
      </w:r>
      <w:r w:rsidR="00A17031" w:rsidRPr="008137B8">
        <w:rPr>
          <w:sz w:val="24"/>
          <w:szCs w:val="24"/>
          <w:lang w:val="sr-Cyrl-RS"/>
        </w:rPr>
        <w:t>б</w:t>
      </w:r>
      <w:r w:rsidRPr="008137B8">
        <w:rPr>
          <w:sz w:val="24"/>
          <w:szCs w:val="24"/>
          <w:lang w:val="sr-Cyrl-RS"/>
        </w:rPr>
        <w:t>лик студирања, диплома мора да гарантује исти ново компетенција свих студената који заврше један студијски програм.</w:t>
      </w:r>
    </w:p>
    <w:p w:rsidR="006A5D2F" w:rsidRPr="008137B8" w:rsidRDefault="006A5D2F" w:rsidP="006A5D2F">
      <w:pPr>
        <w:jc w:val="both"/>
        <w:rPr>
          <w:sz w:val="24"/>
          <w:szCs w:val="24"/>
          <w:lang w:val="sr-Cyrl-RS"/>
        </w:rPr>
      </w:pPr>
      <w:r w:rsidRPr="008137B8">
        <w:rPr>
          <w:sz w:val="24"/>
          <w:szCs w:val="24"/>
          <w:lang w:val="sr-Cyrl-RS"/>
        </w:rPr>
        <w:t>У овом документу се предлаже концепт само једног од наведена три облика студирања – студирање уз рад (енгл</w:t>
      </w:r>
      <w:r w:rsidRPr="008137B8">
        <w:rPr>
          <w:noProof/>
          <w:sz w:val="24"/>
          <w:szCs w:val="24"/>
          <w:lang w:val="sr-Cyrl-RS"/>
        </w:rPr>
        <w:t>., part-time studies</w:t>
      </w:r>
      <w:r w:rsidRPr="008137B8">
        <w:rPr>
          <w:sz w:val="24"/>
          <w:szCs w:val="24"/>
          <w:lang w:val="sr-Cyrl-RS"/>
        </w:rPr>
        <w:t xml:space="preserve">). Међутим, принципи и могућност убрзаног студирања се могу применити и у случају студирања уз рад. </w:t>
      </w:r>
    </w:p>
    <w:p w:rsidR="006A5D2F" w:rsidRPr="0039376B" w:rsidRDefault="006A5D2F" w:rsidP="006C0A8C">
      <w:pPr>
        <w:pStyle w:val="Heading1"/>
        <w:rPr>
          <w:lang w:val="sr-Cyrl-RS"/>
        </w:rPr>
      </w:pPr>
      <w:r w:rsidRPr="0039376B">
        <w:rPr>
          <w:lang w:val="sr-Cyrl-RS"/>
        </w:rPr>
        <w:t>Основна опредељења</w:t>
      </w:r>
    </w:p>
    <w:p w:rsidR="006A5D2F" w:rsidRPr="008137B8" w:rsidRDefault="006A5D2F" w:rsidP="006A5D2F">
      <w:pPr>
        <w:jc w:val="both"/>
        <w:rPr>
          <w:sz w:val="24"/>
          <w:szCs w:val="24"/>
          <w:lang w:val="sr"/>
        </w:rPr>
      </w:pPr>
      <w:r w:rsidRPr="008137B8">
        <w:rPr>
          <w:sz w:val="24"/>
          <w:szCs w:val="24"/>
          <w:lang w:val="sr"/>
        </w:rPr>
        <w:t>Студирање уз рад треба да задовољи следеће специфичне захтеве:</w:t>
      </w:r>
    </w:p>
    <w:p w:rsidR="006A5D2F" w:rsidRPr="008137B8" w:rsidRDefault="006A5D2F" w:rsidP="006A5D2F">
      <w:pPr>
        <w:pStyle w:val="ListParagraph"/>
        <w:numPr>
          <w:ilvl w:val="0"/>
          <w:numId w:val="1"/>
        </w:numPr>
        <w:jc w:val="both"/>
        <w:rPr>
          <w:b/>
          <w:lang w:val="sr-Cyrl-RS"/>
        </w:rPr>
      </w:pPr>
      <w:r w:rsidRPr="008137B8">
        <w:rPr>
          <w:b/>
          <w:lang w:val="sr-Cyrl-RS"/>
        </w:rPr>
        <w:t xml:space="preserve">Трајање студија: </w:t>
      </w:r>
      <w:r w:rsidRPr="008137B8">
        <w:rPr>
          <w:lang w:val="sr-Cyrl-RS"/>
        </w:rPr>
        <w:t>Нормално трајање студија је два пута дуже него ст</w:t>
      </w:r>
      <w:r w:rsidR="0055593B" w:rsidRPr="008137B8">
        <w:rPr>
          <w:lang w:val="sr-Cyrl-RS"/>
        </w:rPr>
        <w:t>у</w:t>
      </w:r>
      <w:r w:rsidRPr="008137B8">
        <w:rPr>
          <w:lang w:val="sr-Cyrl-RS"/>
        </w:rPr>
        <w:t>дија намењених редовним студентима, те у једној школској години ст</w:t>
      </w:r>
      <w:r w:rsidR="0055593B" w:rsidRPr="008137B8">
        <w:rPr>
          <w:lang w:val="sr-Cyrl-RS"/>
        </w:rPr>
        <w:t>у</w:t>
      </w:r>
      <w:r w:rsidRPr="008137B8">
        <w:rPr>
          <w:lang w:val="sr-Cyrl-RS"/>
        </w:rPr>
        <w:t>дент треба да стекне 30 ЕСПБ. На посебан захтев студента, његово студирање се може продужити још за 50%. У случају да студент може и жели да убрз</w:t>
      </w:r>
      <w:r w:rsidR="0055593B" w:rsidRPr="008137B8">
        <w:rPr>
          <w:lang w:val="sr-Cyrl-RS"/>
        </w:rPr>
        <w:t>ано студира уз рад, он може да</w:t>
      </w:r>
      <w:r w:rsidRPr="008137B8">
        <w:rPr>
          <w:lang w:val="sr-Cyrl-RS"/>
        </w:rPr>
        <w:t xml:space="preserve"> обезбеди и до 45 ЕСПБ годишње. А ако може и  брже да студира, онда би требало да упише нормални облик студирањ</w:t>
      </w:r>
      <w:r w:rsidR="00F13853">
        <w:rPr>
          <w:lang w:val="sr-Cyrl-RS"/>
        </w:rPr>
        <w:t>а</w:t>
      </w:r>
      <w:r w:rsidRPr="008137B8">
        <w:rPr>
          <w:lang w:val="sr-Cyrl-RS"/>
        </w:rPr>
        <w:t xml:space="preserve"> (уз примену </w:t>
      </w:r>
      <w:proofErr w:type="spellStart"/>
      <w:r w:rsidRPr="008137B8">
        <w:rPr>
          <w:lang w:val="sr-Cyrl-RS"/>
        </w:rPr>
        <w:t>онлајн</w:t>
      </w:r>
      <w:proofErr w:type="spellEnd"/>
      <w:r w:rsidRPr="008137B8">
        <w:rPr>
          <w:lang w:val="sr-Cyrl-RS"/>
        </w:rPr>
        <w:t xml:space="preserve"> начина студирања), који обез</w:t>
      </w:r>
      <w:r w:rsidR="00D45A2F" w:rsidRPr="008137B8">
        <w:rPr>
          <w:lang w:val="sr-Cyrl-RS"/>
        </w:rPr>
        <w:t>б</w:t>
      </w:r>
      <w:r w:rsidRPr="008137B8">
        <w:rPr>
          <w:lang w:val="sr-Cyrl-RS"/>
        </w:rPr>
        <w:t>еђује 60 ЕСПБ годишње.</w:t>
      </w:r>
    </w:p>
    <w:p w:rsidR="006A5D2F" w:rsidRPr="008137B8" w:rsidRDefault="006A5D2F" w:rsidP="00F13853">
      <w:pPr>
        <w:spacing w:after="0" w:line="240" w:lineRule="auto"/>
        <w:ind w:left="720"/>
        <w:jc w:val="both"/>
        <w:rPr>
          <w:sz w:val="24"/>
          <w:szCs w:val="24"/>
          <w:lang w:val="sr"/>
        </w:rPr>
      </w:pPr>
      <w:r w:rsidRPr="008137B8">
        <w:rPr>
          <w:i/>
          <w:sz w:val="24"/>
          <w:szCs w:val="24"/>
          <w:lang w:val="sr-Cyrl-RS"/>
        </w:rPr>
        <w:t xml:space="preserve">Образложење: </w:t>
      </w:r>
      <w:r w:rsidRPr="008137B8">
        <w:rPr>
          <w:sz w:val="24"/>
          <w:szCs w:val="24"/>
          <w:lang w:val="sr-Cyrl-RS"/>
        </w:rPr>
        <w:t>Ако се од редовног студента очекује да за 40 сати недељног рад</w:t>
      </w:r>
      <w:r w:rsidR="00D45A2F" w:rsidRPr="008137B8">
        <w:rPr>
          <w:sz w:val="24"/>
          <w:szCs w:val="24"/>
          <w:lang w:val="sr-Cyrl-RS"/>
        </w:rPr>
        <w:t>а</w:t>
      </w:r>
      <w:r w:rsidRPr="008137B8">
        <w:rPr>
          <w:sz w:val="24"/>
          <w:szCs w:val="24"/>
          <w:lang w:val="sr-Cyrl-RS"/>
        </w:rPr>
        <w:t xml:space="preserve">, оствари 60 ЕСПБ, од запосленог студента се не може очекивати да може да одвоји више од 20 сати недељно </w:t>
      </w:r>
      <w:r w:rsidR="00A17031" w:rsidRPr="008137B8">
        <w:rPr>
          <w:sz w:val="24"/>
          <w:szCs w:val="24"/>
          <w:lang w:val="sr-Cyrl-RS"/>
        </w:rPr>
        <w:t>з</w:t>
      </w:r>
      <w:r w:rsidRPr="008137B8">
        <w:rPr>
          <w:sz w:val="24"/>
          <w:szCs w:val="24"/>
          <w:lang w:val="sr-Cyrl-RS"/>
        </w:rPr>
        <w:t>а студирањ</w:t>
      </w:r>
      <w:r w:rsidR="00D45A2F" w:rsidRPr="008137B8">
        <w:rPr>
          <w:sz w:val="24"/>
          <w:szCs w:val="24"/>
          <w:lang w:val="sr-Cyrl-RS"/>
        </w:rPr>
        <w:t>е</w:t>
      </w:r>
      <w:r w:rsidRPr="008137B8">
        <w:rPr>
          <w:sz w:val="24"/>
          <w:szCs w:val="24"/>
          <w:lang w:val="sr-Cyrl-RS"/>
        </w:rPr>
        <w:t>. Ово је оптимистичка процена, те се зато даје и могу</w:t>
      </w:r>
      <w:r w:rsidR="00D45A2F" w:rsidRPr="008137B8">
        <w:rPr>
          <w:sz w:val="24"/>
          <w:szCs w:val="24"/>
          <w:lang w:val="sr-Cyrl-RS"/>
        </w:rPr>
        <w:t>ћ</w:t>
      </w:r>
      <w:r w:rsidRPr="008137B8">
        <w:rPr>
          <w:sz w:val="24"/>
          <w:szCs w:val="24"/>
          <w:lang w:val="sr-Cyrl-RS"/>
        </w:rPr>
        <w:t xml:space="preserve">ност продужења ових студија, на посебан </w:t>
      </w:r>
      <w:r w:rsidRPr="008137B8">
        <w:rPr>
          <w:sz w:val="24"/>
          <w:szCs w:val="24"/>
          <w:lang w:val="sr-Cyrl-RS"/>
        </w:rPr>
        <w:lastRenderedPageBreak/>
        <w:t xml:space="preserve">захтев студента. Нека истраживања </w:t>
      </w:r>
      <w:r w:rsidR="005F110F" w:rsidRPr="008137B8">
        <w:rPr>
          <w:sz w:val="24"/>
          <w:szCs w:val="24"/>
          <w:lang w:val="sr-Cyrl-RS"/>
        </w:rPr>
        <w:t>показују</w:t>
      </w:r>
      <w:r w:rsidRPr="008137B8">
        <w:rPr>
          <w:sz w:val="24"/>
          <w:szCs w:val="24"/>
          <w:lang w:val="sr-Cyrl-RS"/>
        </w:rPr>
        <w:t xml:space="preserve"> (OUNL) да најуспешнији студенти раде око 15 сати недељно, да њихове трогодишње основне студије трају 9 година, и да имају још две године паузе</w:t>
      </w:r>
      <w:r w:rsidRPr="008137B8">
        <w:rPr>
          <w:sz w:val="24"/>
          <w:szCs w:val="24"/>
          <w:lang w:val="sr"/>
        </w:rPr>
        <w:t>.</w:t>
      </w:r>
    </w:p>
    <w:p w:rsidR="006A5D2F" w:rsidRPr="008137B8" w:rsidRDefault="006A5D2F" w:rsidP="006A5D2F">
      <w:pPr>
        <w:pStyle w:val="ListParagraph"/>
        <w:numPr>
          <w:ilvl w:val="0"/>
          <w:numId w:val="1"/>
        </w:numPr>
        <w:jc w:val="both"/>
        <w:rPr>
          <w:b/>
          <w:lang w:val="sr-Cyrl-RS"/>
        </w:rPr>
      </w:pPr>
      <w:r w:rsidRPr="008137B8">
        <w:rPr>
          <w:b/>
          <w:lang w:val="sr-Cyrl-RS"/>
        </w:rPr>
        <w:t xml:space="preserve">Трајање програма студија: </w:t>
      </w:r>
      <w:r w:rsidRPr="008137B8">
        <w:rPr>
          <w:lang w:val="sr-Cyrl-RS"/>
        </w:rPr>
        <w:t>Због дугог трајања студија једне кохорте студената, ВШУ не треба да има обавезу да студентима гаранту</w:t>
      </w:r>
      <w:r w:rsidR="005F110F" w:rsidRPr="008137B8">
        <w:rPr>
          <w:lang w:val="sr-Cyrl-RS"/>
        </w:rPr>
        <w:t>ј</w:t>
      </w:r>
      <w:r w:rsidRPr="008137B8">
        <w:rPr>
          <w:lang w:val="sr-Cyrl-RS"/>
        </w:rPr>
        <w:t>е исти програм студија за цело време трајања студија. Због потреб</w:t>
      </w:r>
      <w:r w:rsidR="005F110F" w:rsidRPr="008137B8">
        <w:rPr>
          <w:lang w:val="sr-Cyrl-RS"/>
        </w:rPr>
        <w:t>е</w:t>
      </w:r>
      <w:r w:rsidRPr="008137B8">
        <w:rPr>
          <w:lang w:val="sr-Cyrl-RS"/>
        </w:rPr>
        <w:t xml:space="preserve"> да се програми иновирају и осавремен</w:t>
      </w:r>
      <w:r w:rsidR="005F110F" w:rsidRPr="008137B8">
        <w:rPr>
          <w:lang w:val="sr-Cyrl-RS"/>
        </w:rPr>
        <w:t>е</w:t>
      </w:r>
      <w:r w:rsidRPr="008137B8">
        <w:rPr>
          <w:lang w:val="sr-Cyrl-RS"/>
        </w:rPr>
        <w:t xml:space="preserve"> (што је у неким дисциплинама нужност), ВШУ би имала само обавезу да студентима гарантује програм наставе на уписаним предметима, у трајању до 12 месеци. После тога, ВШУ може студенту понудити исти предмет са измењеним програмом, или неки други предмет, ако је тако предвиђено измењеним програмом студија. </w:t>
      </w:r>
    </w:p>
    <w:p w:rsidR="006A5D2F" w:rsidRPr="008137B8" w:rsidRDefault="006A5D2F" w:rsidP="006A5D2F">
      <w:pPr>
        <w:pStyle w:val="ListParagraph"/>
        <w:numPr>
          <w:ilvl w:val="0"/>
          <w:numId w:val="1"/>
        </w:numPr>
        <w:jc w:val="both"/>
        <w:rPr>
          <w:b/>
          <w:lang w:val="sr-Cyrl-RS"/>
        </w:rPr>
      </w:pPr>
      <w:r w:rsidRPr="008137B8">
        <w:rPr>
          <w:b/>
          <w:lang w:val="sr-Cyrl-RS"/>
        </w:rPr>
        <w:t xml:space="preserve">Квалитет студија: </w:t>
      </w:r>
      <w:r w:rsidRPr="008137B8">
        <w:rPr>
          <w:lang w:val="sr-Cyrl-RS"/>
        </w:rPr>
        <w:t xml:space="preserve">Студирање уз рад мора да обезбеди исти квалитет као и редовно студирање, тј. остварене компетенције дипломираног студента треба да буду исте као и компетенције дипломираног студента редовних студија. </w:t>
      </w:r>
    </w:p>
    <w:p w:rsidR="006A5D2F" w:rsidRPr="008137B8" w:rsidRDefault="006A5D2F" w:rsidP="006A5D2F">
      <w:pPr>
        <w:pStyle w:val="ListParagraph"/>
        <w:numPr>
          <w:ilvl w:val="0"/>
          <w:numId w:val="1"/>
        </w:numPr>
        <w:jc w:val="both"/>
        <w:rPr>
          <w:b/>
          <w:lang w:val="sr-Cyrl-RS"/>
        </w:rPr>
      </w:pPr>
      <w:r w:rsidRPr="008137B8">
        <w:rPr>
          <w:b/>
          <w:lang w:val="sr-Cyrl-RS"/>
        </w:rPr>
        <w:t xml:space="preserve">Начин студирања: </w:t>
      </w:r>
      <w:r w:rsidRPr="008137B8">
        <w:rPr>
          <w:lang w:val="sr-Cyrl-RS"/>
        </w:rPr>
        <w:t>Услови студирања треба да омогуће постизања квалитетног образовања, применом једног од три начина студирања:</w:t>
      </w:r>
    </w:p>
    <w:p w:rsidR="006A5D2F" w:rsidRPr="008137B8" w:rsidRDefault="006A5D2F" w:rsidP="006A5D2F">
      <w:pPr>
        <w:pStyle w:val="ListParagraph"/>
        <w:numPr>
          <w:ilvl w:val="1"/>
          <w:numId w:val="1"/>
        </w:numPr>
        <w:jc w:val="both"/>
        <w:rPr>
          <w:b/>
          <w:lang w:val="sr-Cyrl-RS"/>
        </w:rPr>
      </w:pPr>
      <w:proofErr w:type="spellStart"/>
      <w:r w:rsidRPr="008137B8">
        <w:rPr>
          <w:b/>
          <w:lang w:val="sr-Cyrl-RS"/>
        </w:rPr>
        <w:t>Онлајн</w:t>
      </w:r>
      <w:proofErr w:type="spellEnd"/>
      <w:r w:rsidRPr="008137B8">
        <w:rPr>
          <w:b/>
          <w:lang w:val="sr-Cyrl-RS"/>
        </w:rPr>
        <w:t xml:space="preserve"> студирање (енгл., </w:t>
      </w:r>
      <w:proofErr w:type="spellStart"/>
      <w:r w:rsidRPr="008137B8">
        <w:rPr>
          <w:b/>
          <w:lang w:val="sr-Cyrl-RS"/>
        </w:rPr>
        <w:t>online</w:t>
      </w:r>
      <w:proofErr w:type="spellEnd"/>
      <w:r w:rsidRPr="008137B8">
        <w:rPr>
          <w:b/>
          <w:lang w:val="sr-Cyrl-RS"/>
        </w:rPr>
        <w:t xml:space="preserve"> </w:t>
      </w:r>
      <w:proofErr w:type="spellStart"/>
      <w:r w:rsidRPr="008137B8">
        <w:rPr>
          <w:b/>
          <w:lang w:val="sr-Cyrl-RS"/>
        </w:rPr>
        <w:t>learning</w:t>
      </w:r>
      <w:proofErr w:type="spellEnd"/>
      <w:r w:rsidRPr="008137B8">
        <w:rPr>
          <w:b/>
          <w:lang w:val="sr-Cyrl-RS"/>
        </w:rPr>
        <w:t>)</w:t>
      </w:r>
      <w:r w:rsidRPr="008137B8">
        <w:rPr>
          <w:rStyle w:val="FootnoteReference"/>
          <w:b/>
          <w:lang w:val="sr-Cyrl-RS"/>
        </w:rPr>
        <w:footnoteReference w:id="1"/>
      </w:r>
      <w:r w:rsidRPr="008137B8">
        <w:rPr>
          <w:b/>
          <w:lang w:val="sr-Cyrl-RS"/>
        </w:rPr>
        <w:t xml:space="preserve">: </w:t>
      </w:r>
      <w:r w:rsidRPr="008137B8">
        <w:rPr>
          <w:lang w:val="sr-Cyrl-RS"/>
        </w:rPr>
        <w:t xml:space="preserve">Студент користи систем за електронско учење ВШУ, </w:t>
      </w:r>
      <w:r w:rsidR="005F110F" w:rsidRPr="008137B8">
        <w:rPr>
          <w:lang w:val="sr-Cyrl-RS"/>
        </w:rPr>
        <w:t>приступ</w:t>
      </w:r>
      <w:r w:rsidRPr="008137B8">
        <w:rPr>
          <w:lang w:val="sr-Cyrl-RS"/>
        </w:rPr>
        <w:t xml:space="preserve"> наставним материјалима и за интерактивну комуникацију са тутором одређеним за сваки предмет, као и са другим студентима.</w:t>
      </w:r>
    </w:p>
    <w:p w:rsidR="006A5D2F" w:rsidRPr="008137B8" w:rsidRDefault="006A5D2F" w:rsidP="006A5D2F">
      <w:pPr>
        <w:pStyle w:val="ListParagraph"/>
        <w:numPr>
          <w:ilvl w:val="1"/>
          <w:numId w:val="1"/>
        </w:numPr>
        <w:jc w:val="both"/>
        <w:rPr>
          <w:b/>
          <w:lang w:val="sr-Cyrl-RS"/>
        </w:rPr>
      </w:pPr>
      <w:r w:rsidRPr="008137B8">
        <w:rPr>
          <w:b/>
          <w:lang w:val="sr-Cyrl-RS"/>
        </w:rPr>
        <w:t xml:space="preserve">Хибридно (енгл., </w:t>
      </w:r>
      <w:proofErr w:type="spellStart"/>
      <w:r w:rsidRPr="008137B8">
        <w:rPr>
          <w:b/>
          <w:lang w:val="sr-Cyrl-RS"/>
        </w:rPr>
        <w:t>blended-learning</w:t>
      </w:r>
      <w:proofErr w:type="spellEnd"/>
      <w:r w:rsidRPr="008137B8">
        <w:rPr>
          <w:b/>
          <w:lang w:val="sr-Cyrl-RS"/>
        </w:rPr>
        <w:t xml:space="preserve">): </w:t>
      </w:r>
      <w:r w:rsidRPr="008137B8">
        <w:rPr>
          <w:lang w:val="sr-Cyrl-RS"/>
        </w:rPr>
        <w:t xml:space="preserve">Део наставе је у виду </w:t>
      </w:r>
      <w:proofErr w:type="spellStart"/>
      <w:r w:rsidRPr="008137B8">
        <w:rPr>
          <w:lang w:val="sr-Cyrl-RS"/>
        </w:rPr>
        <w:t>онлајн</w:t>
      </w:r>
      <w:proofErr w:type="spellEnd"/>
      <w:r w:rsidRPr="008137B8">
        <w:rPr>
          <w:lang w:val="sr-Cyrl-RS"/>
        </w:rPr>
        <w:t xml:space="preserve"> студирања, а други део наставе је у облику класичног студирања у просторијама ВШУ. Настава у просторијама ВШУ се обично реализује у делу у коме се очекује висок степен интерактивности студента са тутором и осталим студентима и када је н</w:t>
      </w:r>
      <w:r w:rsidR="00D83290" w:rsidRPr="008137B8">
        <w:rPr>
          <w:lang w:val="sr-Cyrl-RS"/>
        </w:rPr>
        <w:t>е</w:t>
      </w:r>
      <w:r w:rsidRPr="008137B8">
        <w:rPr>
          <w:lang w:val="sr-Cyrl-RS"/>
        </w:rPr>
        <w:t>опходно коришћење посебн</w:t>
      </w:r>
      <w:r w:rsidR="00D83290" w:rsidRPr="008137B8">
        <w:rPr>
          <w:lang w:val="sr-Cyrl-RS"/>
        </w:rPr>
        <w:t>е опреме које студент н</w:t>
      </w:r>
      <w:r w:rsidRPr="008137B8">
        <w:rPr>
          <w:lang w:val="sr-Cyrl-RS"/>
        </w:rPr>
        <w:t>е</w:t>
      </w:r>
      <w:r w:rsidR="00D83290" w:rsidRPr="008137B8">
        <w:rPr>
          <w:lang w:val="sr-Cyrl-RS"/>
        </w:rPr>
        <w:t xml:space="preserve"> </w:t>
      </w:r>
      <w:r w:rsidRPr="008137B8">
        <w:rPr>
          <w:lang w:val="sr-Cyrl-RS"/>
        </w:rPr>
        <w:t xml:space="preserve">може да поседује код куће. </w:t>
      </w:r>
    </w:p>
    <w:p w:rsidR="006A5D2F" w:rsidRPr="008137B8" w:rsidRDefault="006A5D2F" w:rsidP="006A5D2F">
      <w:pPr>
        <w:pStyle w:val="ListParagraph"/>
        <w:numPr>
          <w:ilvl w:val="1"/>
          <w:numId w:val="1"/>
        </w:numPr>
        <w:jc w:val="both"/>
        <w:rPr>
          <w:b/>
          <w:lang w:val="sr-Cyrl-RS"/>
        </w:rPr>
      </w:pPr>
      <w:r w:rsidRPr="008137B8">
        <w:rPr>
          <w:b/>
          <w:lang w:val="sr-Cyrl-RS"/>
        </w:rPr>
        <w:t xml:space="preserve">Класично студирање (енгл. </w:t>
      </w:r>
      <w:proofErr w:type="spellStart"/>
      <w:r w:rsidRPr="008137B8">
        <w:rPr>
          <w:b/>
          <w:lang w:val="sr-Cyrl-RS"/>
        </w:rPr>
        <w:t>face-to-face</w:t>
      </w:r>
      <w:proofErr w:type="spellEnd"/>
      <w:r w:rsidRPr="008137B8">
        <w:rPr>
          <w:b/>
          <w:lang w:val="sr-Cyrl-RS"/>
        </w:rPr>
        <w:t xml:space="preserve">, </w:t>
      </w:r>
      <w:proofErr w:type="spellStart"/>
      <w:r w:rsidRPr="008137B8">
        <w:rPr>
          <w:b/>
          <w:lang w:val="sr-Cyrl-RS"/>
        </w:rPr>
        <w:t>tj</w:t>
      </w:r>
      <w:proofErr w:type="spellEnd"/>
      <w:r w:rsidRPr="008137B8">
        <w:rPr>
          <w:b/>
          <w:lang w:val="sr-Cyrl-RS"/>
        </w:rPr>
        <w:t xml:space="preserve">, F2F): </w:t>
      </w:r>
      <w:r w:rsidRPr="008137B8">
        <w:rPr>
          <w:lang w:val="sr-Cyrl-RS"/>
        </w:rPr>
        <w:t>Студент остварује планиран програм наставе у  целости у просторијама ВШУ (у вечер</w:t>
      </w:r>
      <w:r w:rsidR="00D83290" w:rsidRPr="008137B8">
        <w:rPr>
          <w:lang w:val="sr-Cyrl-RS"/>
        </w:rPr>
        <w:t>њ</w:t>
      </w:r>
      <w:r w:rsidRPr="008137B8">
        <w:rPr>
          <w:lang w:val="sr-Cyrl-RS"/>
        </w:rPr>
        <w:t>им часовима радним данима, и токо</w:t>
      </w:r>
      <w:r w:rsidR="00D83290" w:rsidRPr="008137B8">
        <w:rPr>
          <w:lang w:val="sr-Cyrl-RS"/>
        </w:rPr>
        <w:t xml:space="preserve">м дана у данима викенда), с тим </w:t>
      </w:r>
      <w:r w:rsidRPr="008137B8">
        <w:rPr>
          <w:lang w:val="sr-Cyrl-RS"/>
        </w:rPr>
        <w:t>што тај обим активне наставе мора да буде исти као и код класичне наставе при нормалном студирању. У супротном (нпр. В</w:t>
      </w:r>
      <w:r w:rsidR="00D83290" w:rsidRPr="008137B8">
        <w:rPr>
          <w:lang w:val="sr-Cyrl-RS"/>
        </w:rPr>
        <w:t>Ш</w:t>
      </w:r>
      <w:r w:rsidRPr="008137B8">
        <w:rPr>
          <w:lang w:val="sr-Cyrl-RS"/>
        </w:rPr>
        <w:t>У обезбеђује само 30% часова активне наставе у својим просториј</w:t>
      </w:r>
      <w:r w:rsidR="00D83290" w:rsidRPr="008137B8">
        <w:rPr>
          <w:lang w:val="sr-Cyrl-RS"/>
        </w:rPr>
        <w:t>а</w:t>
      </w:r>
      <w:r w:rsidRPr="008137B8">
        <w:rPr>
          <w:lang w:val="sr-Cyrl-RS"/>
        </w:rPr>
        <w:t>ма) угрожава квалитет образовања (јер, ако је то могућ</w:t>
      </w:r>
      <w:r w:rsidR="00D83290" w:rsidRPr="008137B8">
        <w:rPr>
          <w:lang w:val="sr-Cyrl-RS"/>
        </w:rPr>
        <w:t>е</w:t>
      </w:r>
      <w:r w:rsidRPr="008137B8">
        <w:rPr>
          <w:lang w:val="sr-Cyrl-RS"/>
        </w:rPr>
        <w:t>, зашто је онда пла</w:t>
      </w:r>
      <w:r w:rsidR="00D83290" w:rsidRPr="008137B8">
        <w:rPr>
          <w:lang w:val="sr-Cyrl-RS"/>
        </w:rPr>
        <w:t>н</w:t>
      </w:r>
      <w:r w:rsidRPr="008137B8">
        <w:rPr>
          <w:lang w:val="sr-Cyrl-RS"/>
        </w:rPr>
        <w:t xml:space="preserve">иран већи број часова – </w:t>
      </w:r>
      <w:r w:rsidR="00A658CD" w:rsidRPr="00A658CD">
        <w:rPr>
          <w:lang w:val="sr-Cyrl-RS"/>
        </w:rPr>
        <w:t>н</w:t>
      </w:r>
      <w:r w:rsidRPr="00A658CD">
        <w:rPr>
          <w:lang w:val="sr-Cyrl-RS"/>
        </w:rPr>
        <w:t>епотребно</w:t>
      </w:r>
      <w:r w:rsidRPr="008137B8">
        <w:rPr>
          <w:lang w:val="sr-Cyrl-RS"/>
        </w:rPr>
        <w:t xml:space="preserve"> – код нормалног студирања?). Пракса је показала </w:t>
      </w:r>
      <w:r w:rsidRPr="008137B8">
        <w:rPr>
          <w:lang w:val="sr-Cyrl-RS"/>
        </w:rPr>
        <w:lastRenderedPageBreak/>
        <w:t xml:space="preserve">да скраћен број часова </w:t>
      </w:r>
      <w:r w:rsidR="00D83290" w:rsidRPr="008137B8">
        <w:rPr>
          <w:lang w:val="sr-Cyrl-RS"/>
        </w:rPr>
        <w:t>ак</w:t>
      </w:r>
      <w:r w:rsidRPr="008137B8">
        <w:rPr>
          <w:lang w:val="sr-Cyrl-RS"/>
        </w:rPr>
        <w:t>тивне наставе негативно утиче на квалитет студија код студената који се на тај начин образују, и то се не сме дозволити. Зато студије и дуже трају, јер студенти имају на располагању мањи број часова.</w:t>
      </w:r>
    </w:p>
    <w:p w:rsidR="006A5D2F" w:rsidRPr="008137B8" w:rsidRDefault="006A5D2F" w:rsidP="006A5D2F">
      <w:pPr>
        <w:ind w:left="720"/>
        <w:jc w:val="both"/>
        <w:rPr>
          <w:sz w:val="24"/>
          <w:szCs w:val="24"/>
          <w:lang w:val="sr-Cyrl-RS"/>
        </w:rPr>
      </w:pPr>
      <w:r w:rsidRPr="008137B8">
        <w:rPr>
          <w:sz w:val="24"/>
          <w:szCs w:val="24"/>
          <w:lang w:val="sr-Cyrl-RS"/>
        </w:rPr>
        <w:t>Студирање уз рад не сме да се спроведе бе</w:t>
      </w:r>
      <w:r w:rsidR="00A17031" w:rsidRPr="008137B8">
        <w:rPr>
          <w:sz w:val="24"/>
          <w:szCs w:val="24"/>
          <w:lang w:val="sr-Cyrl-RS"/>
        </w:rPr>
        <w:t>з</w:t>
      </w:r>
      <w:r w:rsidRPr="008137B8">
        <w:rPr>
          <w:sz w:val="24"/>
          <w:szCs w:val="24"/>
          <w:lang w:val="sr-Cyrl-RS"/>
        </w:rPr>
        <w:t xml:space="preserve"> једног од наведена три начина студирања, као што је некад био случај код тзв. Ванредних студија, када је установа практично обезбеђивала само могућност полагања испита, а студент је сам спремао испит из препоручених уџбеника. То </w:t>
      </w:r>
      <w:r w:rsidR="00D60A31" w:rsidRPr="008137B8">
        <w:rPr>
          <w:sz w:val="24"/>
          <w:szCs w:val="24"/>
          <w:lang w:val="sr-Cyrl-RS"/>
        </w:rPr>
        <w:t>в</w:t>
      </w:r>
      <w:r w:rsidRPr="008137B8">
        <w:rPr>
          <w:sz w:val="24"/>
          <w:szCs w:val="24"/>
          <w:lang w:val="sr-Cyrl-RS"/>
        </w:rPr>
        <w:t>ише утиче на квалитет и ефикасност обра</w:t>
      </w:r>
      <w:r w:rsidR="00A17031" w:rsidRPr="008137B8">
        <w:rPr>
          <w:sz w:val="24"/>
          <w:szCs w:val="24"/>
          <w:lang w:val="sr-Cyrl-RS"/>
        </w:rPr>
        <w:t>з</w:t>
      </w:r>
      <w:r w:rsidRPr="008137B8">
        <w:rPr>
          <w:sz w:val="24"/>
          <w:szCs w:val="24"/>
          <w:lang w:val="sr-Cyrl-RS"/>
        </w:rPr>
        <w:t xml:space="preserve">овања, јер лишава студента било какве помоћи ВШУ, сем верификације стеченог знања. </w:t>
      </w:r>
    </w:p>
    <w:p w:rsidR="006A5D2F" w:rsidRPr="008137B8" w:rsidRDefault="006A5D2F" w:rsidP="006A5D2F">
      <w:pPr>
        <w:pStyle w:val="ListParagraph"/>
        <w:numPr>
          <w:ilvl w:val="0"/>
          <w:numId w:val="1"/>
        </w:numPr>
        <w:jc w:val="both"/>
        <w:rPr>
          <w:b/>
          <w:lang w:val="sr-Cyrl-RS"/>
        </w:rPr>
      </w:pPr>
      <w:r w:rsidRPr="008137B8">
        <w:rPr>
          <w:b/>
          <w:lang w:val="sr-Cyrl-RS"/>
        </w:rPr>
        <w:t>Ко може бити  студент ст</w:t>
      </w:r>
      <w:r w:rsidR="00D60A31" w:rsidRPr="008137B8">
        <w:rPr>
          <w:b/>
          <w:lang w:val="sr-Cyrl-RS"/>
        </w:rPr>
        <w:t>уди</w:t>
      </w:r>
      <w:r w:rsidRPr="008137B8">
        <w:rPr>
          <w:b/>
          <w:lang w:val="sr-Cyrl-RS"/>
        </w:rPr>
        <w:t xml:space="preserve">рања уз рад:  </w:t>
      </w:r>
    </w:p>
    <w:p w:rsidR="006A5D2F" w:rsidRPr="008137B8" w:rsidRDefault="006A5D2F" w:rsidP="006A5D2F">
      <w:pPr>
        <w:pStyle w:val="ListParagraph"/>
        <w:numPr>
          <w:ilvl w:val="1"/>
          <w:numId w:val="1"/>
        </w:numPr>
        <w:jc w:val="both"/>
        <w:rPr>
          <w:b/>
          <w:lang w:val="sr-Cyrl-RS"/>
        </w:rPr>
      </w:pPr>
      <w:r w:rsidRPr="008137B8">
        <w:rPr>
          <w:lang w:val="sr-Cyrl-RS"/>
        </w:rPr>
        <w:t xml:space="preserve">Студент </w:t>
      </w:r>
      <w:r w:rsidR="00D60A31" w:rsidRPr="008137B8">
        <w:rPr>
          <w:lang w:val="sr-Cyrl-RS"/>
        </w:rPr>
        <w:t>к</w:t>
      </w:r>
      <w:r w:rsidRPr="008137B8">
        <w:rPr>
          <w:lang w:val="sr-Cyrl-RS"/>
        </w:rPr>
        <w:t>оји је у пуном или делимичном радном односу.</w:t>
      </w:r>
    </w:p>
    <w:p w:rsidR="006A5D2F" w:rsidRPr="008137B8" w:rsidRDefault="006A5D2F" w:rsidP="006A5D2F">
      <w:pPr>
        <w:pStyle w:val="ListParagraph"/>
        <w:numPr>
          <w:ilvl w:val="1"/>
          <w:numId w:val="1"/>
        </w:numPr>
        <w:jc w:val="both"/>
        <w:rPr>
          <w:b/>
          <w:lang w:val="sr-Cyrl-RS"/>
        </w:rPr>
      </w:pPr>
      <w:r w:rsidRPr="008137B8">
        <w:rPr>
          <w:lang w:val="sr-Cyrl-RS"/>
        </w:rPr>
        <w:t>Студент који ради  повремене послове</w:t>
      </w:r>
    </w:p>
    <w:p w:rsidR="006A5D2F" w:rsidRPr="008137B8" w:rsidRDefault="006A5D2F" w:rsidP="006A5D2F">
      <w:pPr>
        <w:ind w:left="720"/>
        <w:jc w:val="both"/>
        <w:rPr>
          <w:sz w:val="24"/>
          <w:szCs w:val="24"/>
          <w:lang w:val="sr-Cyrl-RS"/>
        </w:rPr>
      </w:pPr>
      <w:proofErr w:type="spellStart"/>
      <w:r w:rsidRPr="008137B8">
        <w:rPr>
          <w:sz w:val="24"/>
          <w:szCs w:val="24"/>
          <w:lang w:val="sr-Cyrl-RS"/>
        </w:rPr>
        <w:t>Онлајн</w:t>
      </w:r>
      <w:proofErr w:type="spellEnd"/>
      <w:r w:rsidRPr="008137B8">
        <w:rPr>
          <w:sz w:val="24"/>
          <w:szCs w:val="24"/>
          <w:lang w:val="sr-Cyrl-RS"/>
        </w:rPr>
        <w:t xml:space="preserve"> и хибридно студирање могу да користе и студенти нормалних студија, при чему важе иста правила као и код студената студирања уз рад, сем што је њихово трајање студирања као код нормалног студирања (60 ЕСПБ годи</w:t>
      </w:r>
      <w:r w:rsidR="00D60A31" w:rsidRPr="008137B8">
        <w:rPr>
          <w:sz w:val="24"/>
          <w:szCs w:val="24"/>
          <w:lang w:val="sr-Cyrl-RS"/>
        </w:rPr>
        <w:t>ш</w:t>
      </w:r>
      <w:r w:rsidRPr="008137B8">
        <w:rPr>
          <w:sz w:val="24"/>
          <w:szCs w:val="24"/>
          <w:lang w:val="sr-Cyrl-RS"/>
        </w:rPr>
        <w:t>ње). На ове облике студирања на нормалним студијама могу да се упишу и запослени студенти (ако мисле да могу да остварују по 60 ЕСПБ годишње, али и студенти којима више одговара такав начин и режим студирања (живе ван места студирања, в</w:t>
      </w:r>
      <w:r w:rsidR="00D60A31" w:rsidRPr="008137B8">
        <w:rPr>
          <w:sz w:val="24"/>
          <w:szCs w:val="24"/>
          <w:lang w:val="sr-Cyrl-RS"/>
        </w:rPr>
        <w:t>о</w:t>
      </w:r>
      <w:r w:rsidRPr="008137B8">
        <w:rPr>
          <w:sz w:val="24"/>
          <w:szCs w:val="24"/>
          <w:lang w:val="sr-Cyrl-RS"/>
        </w:rPr>
        <w:t>ле већу флексибилност у студирању и сл.)</w:t>
      </w:r>
      <w:r w:rsidR="007124B4" w:rsidRPr="008137B8">
        <w:rPr>
          <w:sz w:val="24"/>
          <w:szCs w:val="24"/>
          <w:lang w:val="sr-Cyrl-RS"/>
        </w:rPr>
        <w:t>)</w:t>
      </w:r>
      <w:r w:rsidRPr="008137B8">
        <w:rPr>
          <w:sz w:val="24"/>
          <w:szCs w:val="24"/>
          <w:lang w:val="sr-Cyrl-RS"/>
        </w:rPr>
        <w:t xml:space="preserve">. </w:t>
      </w:r>
    </w:p>
    <w:p w:rsidR="006A5D2F" w:rsidRPr="008137B8" w:rsidRDefault="006A5D2F" w:rsidP="006A5D2F">
      <w:pPr>
        <w:pStyle w:val="ListParagraph"/>
        <w:numPr>
          <w:ilvl w:val="0"/>
          <w:numId w:val="1"/>
        </w:numPr>
        <w:jc w:val="both"/>
        <w:rPr>
          <w:b/>
          <w:lang w:val="sr-Cyrl-RS"/>
        </w:rPr>
      </w:pPr>
      <w:r w:rsidRPr="008137B8">
        <w:rPr>
          <w:b/>
          <w:lang w:val="sr-Cyrl-RS"/>
        </w:rPr>
        <w:t xml:space="preserve">Акредитација: </w:t>
      </w:r>
      <w:r w:rsidRPr="008137B8">
        <w:rPr>
          <w:lang w:val="sr-Cyrl-RS"/>
        </w:rPr>
        <w:t>У случају да систем акредитације (прва или поновљена акредитација) предвиђа акредитацију студијских програма, онда, с обзир</w:t>
      </w:r>
      <w:r w:rsidR="007124B4" w:rsidRPr="008137B8">
        <w:rPr>
          <w:lang w:val="sr-Cyrl-RS"/>
        </w:rPr>
        <w:t>о</w:t>
      </w:r>
      <w:r w:rsidRPr="008137B8">
        <w:rPr>
          <w:lang w:val="sr-Cyrl-RS"/>
        </w:rPr>
        <w:t>м да су ст</w:t>
      </w:r>
      <w:r w:rsidR="007124B4" w:rsidRPr="008137B8">
        <w:rPr>
          <w:lang w:val="sr-Cyrl-RS"/>
        </w:rPr>
        <w:t>удијски програми јединствени (о</w:t>
      </w:r>
      <w:r w:rsidRPr="008137B8">
        <w:rPr>
          <w:lang w:val="sr-Cyrl-RS"/>
        </w:rPr>
        <w:t>с</w:t>
      </w:r>
      <w:r w:rsidR="007124B4" w:rsidRPr="008137B8">
        <w:rPr>
          <w:lang w:val="sr-Cyrl-RS"/>
        </w:rPr>
        <w:t>т</w:t>
      </w:r>
      <w:r w:rsidRPr="008137B8">
        <w:rPr>
          <w:lang w:val="sr-Cyrl-RS"/>
        </w:rPr>
        <w:t>варују се у више начина студирања), то и програми који се реали</w:t>
      </w:r>
      <w:r w:rsidR="00A17031" w:rsidRPr="008137B8">
        <w:rPr>
          <w:lang w:val="sr-Cyrl-RS"/>
        </w:rPr>
        <w:t>з</w:t>
      </w:r>
      <w:r w:rsidRPr="008137B8">
        <w:rPr>
          <w:lang w:val="sr-Cyrl-RS"/>
        </w:rPr>
        <w:t>ују при студирању уз рад имају исту и јединствену акредитацију. Не врши се посебна акредитација студијских програма, ако се они и</w:t>
      </w:r>
      <w:r w:rsidR="00A17031" w:rsidRPr="008137B8">
        <w:rPr>
          <w:lang w:val="sr-Cyrl-RS"/>
        </w:rPr>
        <w:t>з</w:t>
      </w:r>
      <w:r w:rsidRPr="008137B8">
        <w:rPr>
          <w:lang w:val="sr-Cyrl-RS"/>
        </w:rPr>
        <w:t xml:space="preserve">воде у више начина студирања. Стандарди акредитације треба да предвиде услове </w:t>
      </w:r>
      <w:r w:rsidR="00A17031" w:rsidRPr="008137B8">
        <w:rPr>
          <w:lang w:val="sr-Cyrl-RS"/>
        </w:rPr>
        <w:t>з</w:t>
      </w:r>
      <w:r w:rsidRPr="008137B8">
        <w:rPr>
          <w:lang w:val="sr-Cyrl-RS"/>
        </w:rPr>
        <w:t xml:space="preserve">а сваки од наведена три начина </w:t>
      </w:r>
      <w:r w:rsidR="007124B4" w:rsidRPr="008137B8">
        <w:rPr>
          <w:lang w:val="sr-Cyrl-RS"/>
        </w:rPr>
        <w:t>студирања</w:t>
      </w:r>
      <w:r w:rsidRPr="008137B8">
        <w:rPr>
          <w:lang w:val="sr-Cyrl-RS"/>
        </w:rPr>
        <w:t xml:space="preserve">. Ни један </w:t>
      </w:r>
      <w:r w:rsidR="007124B4" w:rsidRPr="008137B8">
        <w:rPr>
          <w:lang w:val="sr-Cyrl-RS"/>
        </w:rPr>
        <w:t>пропис</w:t>
      </w:r>
      <w:r w:rsidRPr="008137B8">
        <w:rPr>
          <w:lang w:val="sr-Cyrl-RS"/>
        </w:rPr>
        <w:t xml:space="preserve"> не може да ограничава број студената које ВШУ може да упише на неки студијски програм, ако задовољава прописане стандарде акредитација.</w:t>
      </w:r>
      <w:r w:rsidRPr="008137B8">
        <w:rPr>
          <w:rStyle w:val="FootnoteReference"/>
          <w:lang w:val="sr-Cyrl-RS"/>
        </w:rPr>
        <w:footnoteReference w:id="2"/>
      </w:r>
    </w:p>
    <w:p w:rsidR="006A5D2F" w:rsidRPr="008137B8" w:rsidRDefault="003C02EE" w:rsidP="006A5D2F">
      <w:pPr>
        <w:pStyle w:val="ListParagraph"/>
        <w:numPr>
          <w:ilvl w:val="0"/>
          <w:numId w:val="1"/>
        </w:numPr>
        <w:jc w:val="both"/>
        <w:rPr>
          <w:b/>
          <w:lang w:val="sr-Cyrl-RS"/>
        </w:rPr>
      </w:pPr>
      <w:r w:rsidRPr="008137B8">
        <w:rPr>
          <w:b/>
          <w:lang w:val="sr-Cyrl-RS"/>
        </w:rPr>
        <w:lastRenderedPageBreak/>
        <w:t>Финансирање</w:t>
      </w:r>
      <w:r w:rsidR="006A5D2F" w:rsidRPr="008137B8">
        <w:rPr>
          <w:b/>
          <w:lang w:val="sr-Cyrl-RS"/>
        </w:rPr>
        <w:t xml:space="preserve"> студија: </w:t>
      </w:r>
      <w:r w:rsidR="006A5D2F" w:rsidRPr="008137B8">
        <w:rPr>
          <w:lang w:val="sr-Cyrl-RS"/>
        </w:rPr>
        <w:t xml:space="preserve">Студирање уз рад има своју цену која се изражава школарином, која треба да покрије све трошкове ових студија, односно, школарина треба да </w:t>
      </w:r>
      <w:r w:rsidRPr="008137B8">
        <w:rPr>
          <w:lang w:val="sr-Cyrl-RS"/>
        </w:rPr>
        <w:t>одговара</w:t>
      </w:r>
      <w:r w:rsidR="006A5D2F" w:rsidRPr="008137B8">
        <w:rPr>
          <w:lang w:val="sr-Cyrl-RS"/>
        </w:rPr>
        <w:t xml:space="preserve"> нивоу трошкова буџетског финансирања израженог по студенту.  У случају да В</w:t>
      </w:r>
      <w:r w:rsidRPr="008137B8">
        <w:rPr>
          <w:lang w:val="sr-Cyrl-RS"/>
        </w:rPr>
        <w:t>Ш</w:t>
      </w:r>
      <w:r w:rsidR="006A5D2F" w:rsidRPr="008137B8">
        <w:rPr>
          <w:lang w:val="sr-Cyrl-RS"/>
        </w:rPr>
        <w:t xml:space="preserve">У није основала држава, или ако ВШУ није регистрована као </w:t>
      </w:r>
      <w:r w:rsidR="006A5D2F" w:rsidRPr="00A658CD">
        <w:rPr>
          <w:lang w:val="sr-Cyrl-RS"/>
        </w:rPr>
        <w:t>недобитна</w:t>
      </w:r>
      <w:r w:rsidR="006A5D2F" w:rsidRPr="008137B8">
        <w:rPr>
          <w:lang w:val="sr-Cyrl-RS"/>
        </w:rPr>
        <w:t xml:space="preserve"> органи</w:t>
      </w:r>
      <w:r w:rsidR="00A17031" w:rsidRPr="008137B8">
        <w:rPr>
          <w:lang w:val="sr-Cyrl-RS"/>
        </w:rPr>
        <w:t>з</w:t>
      </w:r>
      <w:r w:rsidR="006A5D2F" w:rsidRPr="008137B8">
        <w:rPr>
          <w:lang w:val="sr-Cyrl-RS"/>
        </w:rPr>
        <w:t xml:space="preserve">ација, она има право да користи школарину која </w:t>
      </w:r>
      <w:r w:rsidRPr="008137B8">
        <w:rPr>
          <w:lang w:val="sr-Cyrl-RS"/>
        </w:rPr>
        <w:t>обезбеђује</w:t>
      </w:r>
      <w:r w:rsidR="006A5D2F" w:rsidRPr="008137B8">
        <w:rPr>
          <w:lang w:val="sr-Cyrl-RS"/>
        </w:rPr>
        <w:t xml:space="preserve"> добит. По </w:t>
      </w:r>
      <w:bookmarkStart w:id="0" w:name="_GoBack"/>
      <w:bookmarkEnd w:id="0"/>
      <w:r w:rsidR="006A5D2F" w:rsidRPr="008137B8">
        <w:rPr>
          <w:lang w:val="sr-Cyrl-RS"/>
        </w:rPr>
        <w:t xml:space="preserve">правилу, запослени студенти сами плаћају своје школарине, које се обрачунавају према броју ЕСПБ предмета за које се студент уписује, у оквиру одабраног </w:t>
      </w:r>
      <w:r w:rsidRPr="008137B8">
        <w:rPr>
          <w:lang w:val="sr-Cyrl-RS"/>
        </w:rPr>
        <w:t>студијског</w:t>
      </w:r>
      <w:r w:rsidR="006A5D2F" w:rsidRPr="008137B8">
        <w:rPr>
          <w:lang w:val="sr-Cyrl-RS"/>
        </w:rPr>
        <w:t xml:space="preserve"> програма. У случају да држава, ради </w:t>
      </w:r>
      <w:r w:rsidRPr="008137B8">
        <w:rPr>
          <w:lang w:val="sr-Cyrl-RS"/>
        </w:rPr>
        <w:t>стимулисања</w:t>
      </w:r>
      <w:r w:rsidR="006A5D2F" w:rsidRPr="008137B8">
        <w:rPr>
          <w:lang w:val="sr-Cyrl-RS"/>
        </w:rPr>
        <w:t xml:space="preserve"> </w:t>
      </w:r>
      <w:r w:rsidRPr="008137B8">
        <w:rPr>
          <w:lang w:val="sr-Cyrl-RS"/>
        </w:rPr>
        <w:t>студирања дефи</w:t>
      </w:r>
      <w:r w:rsidR="006A5D2F" w:rsidRPr="008137B8">
        <w:rPr>
          <w:lang w:val="sr-Cyrl-RS"/>
        </w:rPr>
        <w:t>ци</w:t>
      </w:r>
      <w:r w:rsidRPr="008137B8">
        <w:rPr>
          <w:lang w:val="sr-Cyrl-RS"/>
        </w:rPr>
        <w:t>т</w:t>
      </w:r>
      <w:r w:rsidR="006A5D2F" w:rsidRPr="008137B8">
        <w:rPr>
          <w:lang w:val="sr-Cyrl-RS"/>
        </w:rPr>
        <w:t xml:space="preserve">арних струка одлучи да у целости или делимично плаћа школарине запослених студената, који задовољавају одређене услове, онда таква </w:t>
      </w:r>
      <w:r w:rsidRPr="008137B8">
        <w:rPr>
          <w:lang w:val="sr-Cyrl-RS"/>
        </w:rPr>
        <w:t>финансијска</w:t>
      </w:r>
      <w:r w:rsidR="006A5D2F" w:rsidRPr="008137B8">
        <w:rPr>
          <w:lang w:val="sr-Cyrl-RS"/>
        </w:rPr>
        <w:t xml:space="preserve"> подршка мора да задовољи два услова:</w:t>
      </w:r>
    </w:p>
    <w:p w:rsidR="006A5D2F" w:rsidRPr="008137B8" w:rsidRDefault="006A5D2F" w:rsidP="006A5D2F">
      <w:pPr>
        <w:pStyle w:val="ListParagraph"/>
        <w:numPr>
          <w:ilvl w:val="1"/>
          <w:numId w:val="1"/>
        </w:numPr>
        <w:jc w:val="both"/>
        <w:rPr>
          <w:b/>
          <w:lang w:val="sr-Cyrl-RS"/>
        </w:rPr>
      </w:pPr>
      <w:r w:rsidRPr="008137B8">
        <w:rPr>
          <w:lang w:val="sr-Cyrl-RS"/>
        </w:rPr>
        <w:t>мора да могу да је користе и студенти уписани и на приватним ВШУ, а не само на државним ВШУ, и</w:t>
      </w:r>
    </w:p>
    <w:p w:rsidR="006A5D2F" w:rsidRPr="008137B8" w:rsidRDefault="006A5D2F" w:rsidP="006A5D2F">
      <w:pPr>
        <w:pStyle w:val="ListParagraph"/>
        <w:numPr>
          <w:ilvl w:val="1"/>
          <w:numId w:val="1"/>
        </w:numPr>
        <w:jc w:val="both"/>
        <w:rPr>
          <w:lang w:val="sr-Cyrl-RS"/>
        </w:rPr>
      </w:pPr>
      <w:r w:rsidRPr="008137B8">
        <w:rPr>
          <w:lang w:val="sr-Cyrl-RS"/>
        </w:rPr>
        <w:t xml:space="preserve">може да покрива део или највише све трошкове школовања, без дела </w:t>
      </w:r>
      <w:r w:rsidR="003C02EE" w:rsidRPr="008137B8">
        <w:rPr>
          <w:lang w:val="sr-Cyrl-RS"/>
        </w:rPr>
        <w:t>уграђене</w:t>
      </w:r>
      <w:r w:rsidRPr="008137B8">
        <w:rPr>
          <w:lang w:val="sr-Cyrl-RS"/>
        </w:rPr>
        <w:t xml:space="preserve"> добити, ако је она уграђена у школарину (у случају добитних ВШУ).</w:t>
      </w:r>
    </w:p>
    <w:p w:rsidR="006A5D2F" w:rsidRPr="008137B8" w:rsidRDefault="006A5D2F" w:rsidP="006A5D2F">
      <w:pPr>
        <w:ind w:left="720"/>
        <w:jc w:val="both"/>
        <w:rPr>
          <w:sz w:val="24"/>
          <w:szCs w:val="24"/>
          <w:lang w:val="sr-Cyrl-RS"/>
        </w:rPr>
      </w:pPr>
      <w:r w:rsidRPr="008137B8">
        <w:rPr>
          <w:i/>
          <w:sz w:val="24"/>
          <w:szCs w:val="24"/>
          <w:lang w:val="sr-Cyrl-RS"/>
        </w:rPr>
        <w:t>Образложење:</w:t>
      </w:r>
      <w:r w:rsidRPr="008137B8">
        <w:rPr>
          <w:sz w:val="24"/>
          <w:szCs w:val="24"/>
          <w:lang w:val="sr-Cyrl-RS"/>
        </w:rPr>
        <w:t xml:space="preserve">  Пошто се ради о запосленим студентима, нормално је да они имају могућности да сами плаћају своје школарине и држава, по правилу, не би да има плаћа такве студије. Евентуални изузетак може бити случај подстицаја студија у дефицитарним струкама. Међутим, важно је да се тада обезбеди равноправност свих студената, а и да се на тај начин не финансира део школарине који обезбеђује добит ВШУ. Највероватније, држава у таквим случајевима треба да нуди одређене бонусе, тј. плаћање фиксног износа за плаћање школарине нпр. стимулативног бонуса од, на пример, 20 ЕУР/ЕСПБ, што одговара шк</w:t>
      </w:r>
      <w:r w:rsidR="003C02EE" w:rsidRPr="008137B8">
        <w:rPr>
          <w:sz w:val="24"/>
          <w:szCs w:val="24"/>
          <w:lang w:val="sr-Cyrl-RS"/>
        </w:rPr>
        <w:t>о</w:t>
      </w:r>
      <w:r w:rsidRPr="008137B8">
        <w:rPr>
          <w:sz w:val="24"/>
          <w:szCs w:val="24"/>
          <w:lang w:val="sr-Cyrl-RS"/>
        </w:rPr>
        <w:t xml:space="preserve">ларини до  1.200 ЕУР за 60 ЕСПБ, што је ниже од садашњих школарина које покривају само трошкове пословања). </w:t>
      </w:r>
      <w:r w:rsidR="003C02EE" w:rsidRPr="008137B8">
        <w:rPr>
          <w:sz w:val="24"/>
          <w:szCs w:val="24"/>
          <w:lang w:val="sr-Cyrl-RS"/>
        </w:rPr>
        <w:t xml:space="preserve"> </w:t>
      </w:r>
      <w:r w:rsidRPr="008137B8">
        <w:rPr>
          <w:sz w:val="24"/>
          <w:szCs w:val="24"/>
          <w:lang w:val="sr-Cyrl-RS"/>
        </w:rPr>
        <w:t xml:space="preserve">Државне ВШУ не би имале право (тачније обвезу, јер их држава својим ”препорукама” ограничава), као сада, да нуде школарине које су ниже од буџетског финансирања израженог по студенту, јер је то својеврсни дампинг и ствара неравноправне услове пословања приватним ВШУ. Подсећамо да Стратегија развоја високог </w:t>
      </w:r>
      <w:r w:rsidR="008137B8" w:rsidRPr="008137B8">
        <w:rPr>
          <w:sz w:val="24"/>
          <w:szCs w:val="24"/>
          <w:lang w:val="sr-Cyrl-RS"/>
        </w:rPr>
        <w:t>образованија</w:t>
      </w:r>
      <w:r w:rsidRPr="008137B8">
        <w:rPr>
          <w:sz w:val="24"/>
          <w:szCs w:val="24"/>
          <w:lang w:val="sr-Cyrl-RS"/>
        </w:rPr>
        <w:t xml:space="preserve"> до 2020 предвиђа јединственост школарина, као основног начина финансирања студија, без обзира да ли их држава плаћа у целости или делимично  (за тзв. буџетски </w:t>
      </w:r>
      <w:r w:rsidR="008137B8" w:rsidRPr="008137B8">
        <w:rPr>
          <w:sz w:val="24"/>
          <w:szCs w:val="24"/>
          <w:lang w:val="sr-Cyrl-RS"/>
        </w:rPr>
        <w:t>финансиране</w:t>
      </w:r>
      <w:r w:rsidRPr="008137B8">
        <w:rPr>
          <w:sz w:val="24"/>
          <w:szCs w:val="24"/>
          <w:lang w:val="sr-Cyrl-RS"/>
        </w:rPr>
        <w:t xml:space="preserve"> студенте) или их плаћају студенти. </w:t>
      </w:r>
    </w:p>
    <w:p w:rsidR="006A5D2F" w:rsidRPr="008137B8" w:rsidRDefault="006A5D2F" w:rsidP="006C0A8C">
      <w:pPr>
        <w:pStyle w:val="Heading1"/>
        <w:rPr>
          <w:lang w:val="sr-Cyrl-RS"/>
        </w:rPr>
      </w:pPr>
      <w:r w:rsidRPr="0039376B">
        <w:rPr>
          <w:lang w:val="sr-Cyrl-RS"/>
        </w:rPr>
        <w:lastRenderedPageBreak/>
        <w:t>Правни оквир студирања</w:t>
      </w:r>
      <w:r w:rsidRPr="008137B8">
        <w:rPr>
          <w:lang w:val="sr-Cyrl-RS"/>
        </w:rPr>
        <w:t xml:space="preserve"> уз рад</w:t>
      </w:r>
    </w:p>
    <w:p w:rsidR="006A5D2F" w:rsidRPr="008137B8" w:rsidRDefault="006A5D2F" w:rsidP="006A5D2F">
      <w:pPr>
        <w:jc w:val="both"/>
        <w:rPr>
          <w:sz w:val="24"/>
          <w:szCs w:val="24"/>
          <w:lang w:val="sr-Cyrl-RS"/>
        </w:rPr>
      </w:pPr>
      <w:r w:rsidRPr="008137B8">
        <w:rPr>
          <w:sz w:val="24"/>
          <w:szCs w:val="24"/>
          <w:lang w:val="sr-Cyrl-RS"/>
        </w:rPr>
        <w:t xml:space="preserve">Ако се предложени концепт студирања уз рад усвоји, онда његову примену треба да подржи одговарајући правни оквир, који се </w:t>
      </w:r>
      <w:r w:rsidR="008137B8" w:rsidRPr="008137B8">
        <w:rPr>
          <w:sz w:val="24"/>
          <w:szCs w:val="24"/>
          <w:lang w:val="sr-Cyrl-RS"/>
        </w:rPr>
        <w:t>обезбеђује</w:t>
      </w:r>
      <w:r w:rsidRPr="008137B8">
        <w:rPr>
          <w:sz w:val="24"/>
          <w:szCs w:val="24"/>
          <w:lang w:val="sr-Cyrl-RS"/>
        </w:rPr>
        <w:t>:</w:t>
      </w:r>
    </w:p>
    <w:p w:rsidR="006A5D2F" w:rsidRPr="008137B8" w:rsidRDefault="006A5D2F" w:rsidP="006A5D2F">
      <w:pPr>
        <w:pStyle w:val="ListParagraph"/>
        <w:numPr>
          <w:ilvl w:val="0"/>
          <w:numId w:val="3"/>
        </w:numPr>
        <w:jc w:val="both"/>
        <w:rPr>
          <w:lang w:val="sr-Cyrl-RS"/>
        </w:rPr>
      </w:pPr>
      <w:r w:rsidRPr="008137B8">
        <w:rPr>
          <w:lang w:val="sr-Cyrl-RS"/>
        </w:rPr>
        <w:t>Законом о високом образовању,</w:t>
      </w:r>
    </w:p>
    <w:p w:rsidR="006A5D2F" w:rsidRPr="008137B8" w:rsidRDefault="006A5D2F" w:rsidP="006A5D2F">
      <w:pPr>
        <w:pStyle w:val="ListParagraph"/>
        <w:numPr>
          <w:ilvl w:val="0"/>
          <w:numId w:val="3"/>
        </w:numPr>
        <w:jc w:val="both"/>
        <w:rPr>
          <w:lang w:val="sr-Cyrl-RS"/>
        </w:rPr>
      </w:pPr>
      <w:r w:rsidRPr="008137B8">
        <w:rPr>
          <w:lang w:val="sr-Cyrl-RS"/>
        </w:rPr>
        <w:t>Под</w:t>
      </w:r>
      <w:r w:rsidR="008137B8" w:rsidRPr="008137B8">
        <w:rPr>
          <w:lang w:val="sr-Cyrl-RS"/>
        </w:rPr>
        <w:t>з</w:t>
      </w:r>
      <w:r w:rsidRPr="008137B8">
        <w:rPr>
          <w:lang w:val="sr-Cyrl-RS"/>
        </w:rPr>
        <w:t>аконским актима (нпр. Правилник/Упутство за реализацију студирања уз рад)</w:t>
      </w:r>
    </w:p>
    <w:p w:rsidR="006A5D2F" w:rsidRPr="008137B8" w:rsidRDefault="006A5D2F" w:rsidP="006A5D2F">
      <w:pPr>
        <w:pStyle w:val="ListParagraph"/>
        <w:numPr>
          <w:ilvl w:val="0"/>
          <w:numId w:val="3"/>
        </w:numPr>
        <w:jc w:val="both"/>
        <w:rPr>
          <w:lang w:val="sr-Cyrl-RS"/>
        </w:rPr>
      </w:pPr>
      <w:r w:rsidRPr="008137B8">
        <w:rPr>
          <w:lang w:val="sr-Cyrl-RS"/>
        </w:rPr>
        <w:t>Статутом и општим актом ВШУ, у коме се одре</w:t>
      </w:r>
      <w:r w:rsidR="008137B8" w:rsidRPr="008137B8">
        <w:rPr>
          <w:lang w:val="sr-Cyrl-RS"/>
        </w:rPr>
        <w:t>ђује све специфичности студирања</w:t>
      </w:r>
      <w:r w:rsidRPr="008137B8">
        <w:rPr>
          <w:lang w:val="sr-Cyrl-RS"/>
        </w:rPr>
        <w:t xml:space="preserve"> уз рад</w:t>
      </w:r>
    </w:p>
    <w:p w:rsidR="006A5D2F" w:rsidRPr="008137B8" w:rsidRDefault="006A5D2F" w:rsidP="006A5D2F">
      <w:pPr>
        <w:jc w:val="both"/>
        <w:rPr>
          <w:sz w:val="24"/>
          <w:szCs w:val="24"/>
          <w:lang w:val="sr-Cyrl-RS"/>
        </w:rPr>
      </w:pPr>
      <w:r w:rsidRPr="008137B8">
        <w:rPr>
          <w:sz w:val="24"/>
          <w:szCs w:val="24"/>
          <w:lang w:val="sr-Cyrl-RS"/>
        </w:rPr>
        <w:t xml:space="preserve">Закон треба да пружи основни правни основ уа студирање уз рад, остављајући </w:t>
      </w:r>
      <w:r w:rsidR="008137B8" w:rsidRPr="008137B8">
        <w:rPr>
          <w:sz w:val="24"/>
          <w:szCs w:val="24"/>
          <w:lang w:val="sr-Cyrl-RS"/>
        </w:rPr>
        <w:t>детаље</w:t>
      </w:r>
      <w:r w:rsidRPr="008137B8">
        <w:rPr>
          <w:sz w:val="24"/>
          <w:szCs w:val="24"/>
          <w:lang w:val="sr-Cyrl-RS"/>
        </w:rPr>
        <w:t xml:space="preserve"> под</w:t>
      </w:r>
      <w:r w:rsidR="008137B8" w:rsidRPr="008137B8">
        <w:rPr>
          <w:sz w:val="24"/>
          <w:szCs w:val="24"/>
          <w:lang w:val="sr-Cyrl-RS"/>
        </w:rPr>
        <w:t>з</w:t>
      </w:r>
      <w:r w:rsidRPr="008137B8">
        <w:rPr>
          <w:sz w:val="24"/>
          <w:szCs w:val="24"/>
          <w:lang w:val="sr-Cyrl-RS"/>
        </w:rPr>
        <w:t xml:space="preserve">аконским актима, као што је Правилник за реализацију  студија, или као што су стандарди акредитације које доноси Национални савет </w:t>
      </w:r>
      <w:r w:rsidR="00A17031" w:rsidRPr="008137B8">
        <w:rPr>
          <w:sz w:val="24"/>
          <w:szCs w:val="24"/>
          <w:lang w:val="sr-Cyrl-RS"/>
        </w:rPr>
        <w:t>з</w:t>
      </w:r>
      <w:r w:rsidRPr="008137B8">
        <w:rPr>
          <w:sz w:val="24"/>
          <w:szCs w:val="24"/>
          <w:lang w:val="sr-Cyrl-RS"/>
        </w:rPr>
        <w:t xml:space="preserve">а високо образовање. Међутим Закон мора да довољно правно уобличи постављен концепт студирања уз рад да би спречио да се преко неког </w:t>
      </w:r>
      <w:r w:rsidR="008137B8" w:rsidRPr="008137B8">
        <w:rPr>
          <w:sz w:val="24"/>
          <w:szCs w:val="24"/>
          <w:lang w:val="sr-Cyrl-RS"/>
        </w:rPr>
        <w:t>под</w:t>
      </w:r>
      <w:r w:rsidR="00A17031" w:rsidRPr="008137B8">
        <w:rPr>
          <w:sz w:val="24"/>
          <w:szCs w:val="24"/>
          <w:lang w:val="sr-Cyrl-RS"/>
        </w:rPr>
        <w:t>з</w:t>
      </w:r>
      <w:r w:rsidRPr="008137B8">
        <w:rPr>
          <w:sz w:val="24"/>
          <w:szCs w:val="24"/>
          <w:lang w:val="sr-Cyrl-RS"/>
        </w:rPr>
        <w:t>аконског акта или општег акта ин</w:t>
      </w:r>
      <w:r w:rsidR="008137B8" w:rsidRPr="008137B8">
        <w:rPr>
          <w:sz w:val="24"/>
          <w:szCs w:val="24"/>
          <w:lang w:val="sr-Cyrl-RS"/>
        </w:rPr>
        <w:t>с</w:t>
      </w:r>
      <w:r w:rsidRPr="008137B8">
        <w:rPr>
          <w:sz w:val="24"/>
          <w:szCs w:val="24"/>
          <w:lang w:val="sr-Cyrl-RS"/>
        </w:rPr>
        <w:t>титуције, промени усвојени концепт, што се дешава када је законски основ штуро дефинисан и оставља вели</w:t>
      </w:r>
      <w:r w:rsidR="008137B8" w:rsidRPr="008137B8">
        <w:rPr>
          <w:sz w:val="24"/>
          <w:szCs w:val="24"/>
          <w:lang w:val="sr-Cyrl-RS"/>
        </w:rPr>
        <w:t>ки</w:t>
      </w:r>
      <w:r w:rsidRPr="008137B8">
        <w:rPr>
          <w:sz w:val="24"/>
          <w:szCs w:val="24"/>
          <w:lang w:val="sr-Cyrl-RS"/>
        </w:rPr>
        <w:t xml:space="preserve"> простор за додатно уобличавање.</w:t>
      </w:r>
    </w:p>
    <w:p w:rsidR="006A5D2F" w:rsidRPr="008137B8" w:rsidRDefault="006A5D2F" w:rsidP="006A5D2F">
      <w:pPr>
        <w:jc w:val="both"/>
        <w:rPr>
          <w:sz w:val="24"/>
          <w:szCs w:val="24"/>
          <w:lang w:val="sr-Cyrl-RS"/>
        </w:rPr>
      </w:pPr>
      <w:r w:rsidRPr="008137B8">
        <w:rPr>
          <w:sz w:val="24"/>
          <w:szCs w:val="24"/>
          <w:lang w:val="sr-Cyrl-RS"/>
        </w:rPr>
        <w:t xml:space="preserve">На Министарству просвете, науке и технолошког развоја је да одреди степен законског уобличавања изложеног концепта </w:t>
      </w:r>
      <w:r w:rsidR="008137B8" w:rsidRPr="008137B8">
        <w:rPr>
          <w:sz w:val="24"/>
          <w:szCs w:val="24"/>
          <w:lang w:val="sr-Cyrl-RS"/>
        </w:rPr>
        <w:t>студирања</w:t>
      </w:r>
      <w:r w:rsidRPr="008137B8">
        <w:rPr>
          <w:sz w:val="24"/>
          <w:szCs w:val="24"/>
          <w:lang w:val="sr-Cyrl-RS"/>
        </w:rPr>
        <w:t xml:space="preserve"> уз рад, имајући у виду и </w:t>
      </w:r>
    </w:p>
    <w:p w:rsidR="006A5D2F" w:rsidRPr="008137B8" w:rsidRDefault="006A5D2F" w:rsidP="006A5D2F">
      <w:pPr>
        <w:pStyle w:val="ListParagraph"/>
        <w:numPr>
          <w:ilvl w:val="0"/>
          <w:numId w:val="4"/>
        </w:numPr>
        <w:jc w:val="both"/>
        <w:rPr>
          <w:lang w:val="sr-Cyrl-RS"/>
        </w:rPr>
      </w:pPr>
      <w:r w:rsidRPr="008137B8">
        <w:rPr>
          <w:lang w:val="sr-Cyrl-RS"/>
        </w:rPr>
        <w:t>могућност нежељеног искривљивања концепта, уколико он оставља превелику слободу онима који доносе по</w:t>
      </w:r>
      <w:r w:rsidR="008137B8" w:rsidRPr="008137B8">
        <w:rPr>
          <w:lang w:val="sr-Cyrl-RS"/>
        </w:rPr>
        <w:t>д</w:t>
      </w:r>
      <w:r w:rsidRPr="008137B8">
        <w:rPr>
          <w:lang w:val="sr-Cyrl-RS"/>
        </w:rPr>
        <w:t>з</w:t>
      </w:r>
      <w:r w:rsidR="008137B8" w:rsidRPr="008137B8">
        <w:rPr>
          <w:lang w:val="sr-Cyrl-RS"/>
        </w:rPr>
        <w:t>а</w:t>
      </w:r>
      <w:r w:rsidRPr="008137B8">
        <w:rPr>
          <w:lang w:val="sr-Cyrl-RS"/>
        </w:rPr>
        <w:t xml:space="preserve">конска акта, с једне стране, али и </w:t>
      </w:r>
    </w:p>
    <w:p w:rsidR="006A5D2F" w:rsidRPr="008137B8" w:rsidRDefault="008137B8" w:rsidP="006A5D2F">
      <w:pPr>
        <w:pStyle w:val="ListParagraph"/>
        <w:numPr>
          <w:ilvl w:val="0"/>
          <w:numId w:val="4"/>
        </w:numPr>
        <w:jc w:val="both"/>
        <w:rPr>
          <w:lang w:val="sr-Cyrl-RS"/>
        </w:rPr>
      </w:pPr>
      <w:r w:rsidRPr="008137B8">
        <w:rPr>
          <w:lang w:val="sr-Cyrl-RS"/>
        </w:rPr>
        <w:t>непотребно</w:t>
      </w:r>
      <w:r w:rsidR="006A5D2F" w:rsidRPr="008137B8">
        <w:rPr>
          <w:lang w:val="sr-Cyrl-RS"/>
        </w:rPr>
        <w:t xml:space="preserve"> </w:t>
      </w:r>
      <w:proofErr w:type="spellStart"/>
      <w:r w:rsidR="006A5D2F" w:rsidRPr="008137B8">
        <w:rPr>
          <w:lang w:val="sr-Cyrl-RS"/>
        </w:rPr>
        <w:t>пренормирање</w:t>
      </w:r>
      <w:proofErr w:type="spellEnd"/>
      <w:r w:rsidR="006A5D2F" w:rsidRPr="008137B8">
        <w:rPr>
          <w:lang w:val="sr-Cyrl-RS"/>
        </w:rPr>
        <w:t xml:space="preserve"> у самом закону, с друге стране, што може да спутава иновативност ВШУ у овој области. </w:t>
      </w:r>
    </w:p>
    <w:p w:rsidR="006A5D2F" w:rsidRDefault="006A5D2F" w:rsidP="006A5D2F">
      <w:pPr>
        <w:jc w:val="both"/>
        <w:rPr>
          <w:b/>
          <w:sz w:val="24"/>
          <w:szCs w:val="24"/>
          <w:lang w:val="hr-HR"/>
        </w:rPr>
      </w:pPr>
    </w:p>
    <w:p w:rsidR="0039376B" w:rsidRPr="008137B8" w:rsidRDefault="0039376B" w:rsidP="006A5D2F">
      <w:pPr>
        <w:jc w:val="both"/>
        <w:rPr>
          <w:b/>
          <w:sz w:val="24"/>
          <w:szCs w:val="24"/>
          <w:lang w:val="hr-HR"/>
        </w:rPr>
      </w:pPr>
    </w:p>
    <w:p w:rsidR="006A5D2F" w:rsidRPr="008137B8" w:rsidRDefault="006A5D2F" w:rsidP="006A5D2F">
      <w:pPr>
        <w:jc w:val="both"/>
        <w:rPr>
          <w:noProof/>
          <w:sz w:val="24"/>
          <w:szCs w:val="24"/>
        </w:rPr>
      </w:pPr>
      <w:r w:rsidRPr="008137B8">
        <w:rPr>
          <w:noProof/>
          <w:sz w:val="24"/>
          <w:szCs w:val="24"/>
        </w:rPr>
        <w:t>Припремио,</w:t>
      </w:r>
    </w:p>
    <w:p w:rsidR="006A5D2F" w:rsidRPr="008137B8" w:rsidRDefault="006A5D2F" w:rsidP="006A5D2F">
      <w:pPr>
        <w:jc w:val="both"/>
        <w:rPr>
          <w:noProof/>
          <w:sz w:val="24"/>
          <w:szCs w:val="24"/>
        </w:rPr>
      </w:pPr>
    </w:p>
    <w:p w:rsidR="006A5D2F" w:rsidRPr="008137B8" w:rsidRDefault="006A5D2F" w:rsidP="006A5D2F">
      <w:pPr>
        <w:jc w:val="both"/>
        <w:rPr>
          <w:noProof/>
          <w:sz w:val="24"/>
          <w:szCs w:val="24"/>
        </w:rPr>
      </w:pPr>
      <w:r w:rsidRPr="008137B8">
        <w:rPr>
          <w:noProof/>
          <w:sz w:val="24"/>
          <w:szCs w:val="24"/>
        </w:rPr>
        <w:t xml:space="preserve">Драган Домазет, </w:t>
      </w:r>
    </w:p>
    <w:p w:rsidR="006A5D2F" w:rsidRPr="008137B8" w:rsidRDefault="006A5D2F" w:rsidP="006A5D2F">
      <w:pPr>
        <w:jc w:val="both"/>
        <w:rPr>
          <w:sz w:val="24"/>
          <w:szCs w:val="24"/>
        </w:rPr>
      </w:pPr>
      <w:r w:rsidRPr="008137B8">
        <w:rPr>
          <w:sz w:val="24"/>
          <w:szCs w:val="24"/>
        </w:rPr>
        <w:t>29.11.2016.</w:t>
      </w:r>
    </w:p>
    <w:p w:rsidR="000209DD" w:rsidRDefault="000209DD" w:rsidP="006A5D2F">
      <w:pPr>
        <w:jc w:val="both"/>
      </w:pPr>
    </w:p>
    <w:sectPr w:rsidR="000209DD" w:rsidSect="006225E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C0F" w:rsidRDefault="00AF5C0F" w:rsidP="006225E7">
      <w:pPr>
        <w:spacing w:after="0" w:line="240" w:lineRule="auto"/>
      </w:pPr>
      <w:r>
        <w:separator/>
      </w:r>
    </w:p>
  </w:endnote>
  <w:endnote w:type="continuationSeparator" w:id="0">
    <w:p w:rsidR="00AF5C0F" w:rsidRDefault="00AF5C0F" w:rsidP="00622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D2F" w:rsidRPr="00192B74" w:rsidRDefault="006A5D2F" w:rsidP="00192B74">
    <w:pPr>
      <w:pStyle w:val="Footer"/>
      <w:jc w:val="center"/>
      <w:rPr>
        <w:rFonts w:cs="Arial"/>
        <w:color w:val="0D0D0D" w:themeColor="text1" w:themeTint="F2"/>
      </w:rPr>
    </w:pPr>
    <w:r w:rsidRPr="00192B74">
      <w:rPr>
        <w:rFonts w:cs="Arial"/>
        <w:noProof/>
        <w:color w:val="0D0D0D" w:themeColor="text1" w:themeTint="F2"/>
      </w:rPr>
      <mc:AlternateContent>
        <mc:Choice Requires="wps">
          <w:drawing>
            <wp:anchor distT="0" distB="0" distL="114300" distR="114300" simplePos="0" relativeHeight="251659264" behindDoc="0" locked="0" layoutInCell="1" allowOverlap="1" wp14:anchorId="405F4AB8" wp14:editId="22C25175">
              <wp:simplePos x="0" y="0"/>
              <wp:positionH relativeFrom="column">
                <wp:posOffset>-85725</wp:posOffset>
              </wp:positionH>
              <wp:positionV relativeFrom="paragraph">
                <wp:posOffset>-153670</wp:posOffset>
              </wp:positionV>
              <wp:extent cx="5925185" cy="17780"/>
              <wp:effectExtent l="0" t="0" r="0" b="1270"/>
              <wp:wrapNone/>
              <wp:docPr id="3" name="Rectangle 3"/>
              <wp:cNvGraphicFramePr/>
              <a:graphic xmlns:a="http://schemas.openxmlformats.org/drawingml/2006/main">
                <a:graphicData uri="http://schemas.microsoft.com/office/word/2010/wordprocessingShape">
                  <wps:wsp>
                    <wps:cNvSpPr/>
                    <wps:spPr>
                      <a:xfrm>
                        <a:off x="0" y="0"/>
                        <a:ext cx="5925185" cy="17780"/>
                      </a:xfrm>
                      <a:prstGeom prst="rect">
                        <a:avLst/>
                      </a:prstGeom>
                      <a:solidFill>
                        <a:srgbClr val="223D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042E0" id="Rectangle 3" o:spid="_x0000_s1026" style="position:absolute;margin-left:-6.75pt;margin-top:-12.1pt;width:466.55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" fillcolor="#223d84" stroked="f" strokeweight="2pt"/>
          </w:pict>
        </mc:Fallback>
      </mc:AlternateContent>
    </w:r>
    <w:r w:rsidRPr="00192B74">
      <w:rPr>
        <w:rFonts w:cs="Arial"/>
        <w:noProof/>
        <w:color w:val="0D0D0D" w:themeColor="text1" w:themeTint="F2"/>
      </w:rPr>
      <mc:AlternateContent>
        <mc:Choice Requires="wps">
          <w:drawing>
            <wp:anchor distT="0" distB="0" distL="114300" distR="114300" simplePos="0" relativeHeight="251661312" behindDoc="0" locked="0" layoutInCell="1" allowOverlap="1" wp14:anchorId="2439D53C" wp14:editId="59B61485">
              <wp:simplePos x="0" y="0"/>
              <wp:positionH relativeFrom="column">
                <wp:posOffset>152400</wp:posOffset>
              </wp:positionH>
              <wp:positionV relativeFrom="paragraph">
                <wp:posOffset>-7859395</wp:posOffset>
              </wp:positionV>
              <wp:extent cx="5925312" cy="18288"/>
              <wp:effectExtent l="0" t="0" r="0" b="1270"/>
              <wp:wrapNone/>
              <wp:docPr id="4" name="Rectangle 4"/>
              <wp:cNvGraphicFramePr/>
              <a:graphic xmlns:a="http://schemas.openxmlformats.org/drawingml/2006/main">
                <a:graphicData uri="http://schemas.microsoft.com/office/word/2010/wordprocessingShape">
                  <wps:wsp>
                    <wps:cNvSpPr/>
                    <wps:spPr>
                      <a:xfrm>
                        <a:off x="0" y="0"/>
                        <a:ext cx="5925312" cy="18288"/>
                      </a:xfrm>
                      <a:prstGeom prst="rect">
                        <a:avLst/>
                      </a:prstGeom>
                      <a:solidFill>
                        <a:srgbClr val="223D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EF267" id="Rectangle 4" o:spid="_x0000_s1026" style="position:absolute;margin-left:12pt;margin-top:-618.85pt;width:466.55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" fillcolor="#223d84" stroked="f" strokeweight="2pt"/>
          </w:pict>
        </mc:Fallback>
      </mc:AlternateContent>
    </w:r>
    <w:r w:rsidRPr="00192B74">
      <w:rPr>
        <w:rFonts w:cs="Arial"/>
        <w:color w:val="0D0D0D" w:themeColor="text1" w:themeTint="F2"/>
      </w:rPr>
      <w:t>www.pt-sche.metropolitan.ac.rs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C0F" w:rsidRDefault="00AF5C0F" w:rsidP="006225E7">
      <w:pPr>
        <w:spacing w:after="0" w:line="240" w:lineRule="auto"/>
      </w:pPr>
      <w:r>
        <w:separator/>
      </w:r>
    </w:p>
  </w:footnote>
  <w:footnote w:type="continuationSeparator" w:id="0">
    <w:p w:rsidR="00AF5C0F" w:rsidRDefault="00AF5C0F" w:rsidP="006225E7">
      <w:pPr>
        <w:spacing w:after="0" w:line="240" w:lineRule="auto"/>
      </w:pPr>
      <w:r>
        <w:continuationSeparator/>
      </w:r>
    </w:p>
  </w:footnote>
  <w:footnote w:id="1">
    <w:p w:rsidR="006A5D2F" w:rsidRPr="00DC6271" w:rsidRDefault="006A5D2F" w:rsidP="00D83290">
      <w:pPr>
        <w:pStyle w:val="FootnoteText"/>
        <w:jc w:val="both"/>
        <w:rPr>
          <w:lang w:val="sr"/>
        </w:rPr>
      </w:pPr>
      <w:r>
        <w:rPr>
          <w:rStyle w:val="FootnoteReference"/>
        </w:rPr>
        <w:footnoteRef/>
      </w:r>
      <w:r>
        <w:t xml:space="preserve"> </w:t>
      </w:r>
      <w:r w:rsidRPr="00D83290">
        <w:rPr>
          <w:sz w:val="20"/>
          <w:szCs w:val="20"/>
          <w:lang w:val="sr"/>
        </w:rPr>
        <w:t>У званичним документима термин ”онлајн студирање” треба да замени до сада коришћен термин ”студирање на даљину”, јер он обухвата и дописно студирање (самостално студирање уз коришћење уџбеника на папиру или електронских уџбеника), или рачунарско подржано учење, где студент у изолацији користи наставне материјале у електронском облику,  а без икакве комуникације са тутором. То  даје је нижи квалитет образовања него што омогућава онлајн студирање, које, поред флексибилног избора електронских мултимедијалних наставних материјала са образовног портала ВШУ, омогућава и интерактивност студената са тутором и са осталим студентима.</w:t>
      </w:r>
      <w:r>
        <w:rPr>
          <w:lang w:val="sr"/>
        </w:rPr>
        <w:t xml:space="preserve"> </w:t>
      </w:r>
    </w:p>
  </w:footnote>
  <w:footnote w:id="2">
    <w:p w:rsidR="006A5D2F" w:rsidRPr="003C02EE" w:rsidRDefault="006A5D2F" w:rsidP="007124B4">
      <w:pPr>
        <w:pStyle w:val="FootnoteText"/>
        <w:jc w:val="both"/>
        <w:rPr>
          <w:lang w:val="sr-Cyrl-RS"/>
        </w:rPr>
      </w:pPr>
      <w:r w:rsidRPr="003C02EE">
        <w:rPr>
          <w:rStyle w:val="FootnoteReference"/>
          <w:sz w:val="20"/>
          <w:szCs w:val="20"/>
          <w:lang w:val="sr-Cyrl-RS"/>
        </w:rPr>
        <w:footnoteRef/>
      </w:r>
      <w:r w:rsidRPr="003C02EE">
        <w:rPr>
          <w:sz w:val="20"/>
          <w:szCs w:val="20"/>
          <w:lang w:val="sr-Cyrl-RS"/>
        </w:rPr>
        <w:t xml:space="preserve"> </w:t>
      </w:r>
      <w:r w:rsidRPr="003C02EE">
        <w:rPr>
          <w:sz w:val="20"/>
          <w:szCs w:val="20"/>
          <w:lang w:val="sr-Cyrl-RS"/>
        </w:rPr>
        <w:t>Садашњ</w:t>
      </w:r>
      <w:r w:rsidR="007124B4" w:rsidRPr="003C02EE">
        <w:rPr>
          <w:sz w:val="20"/>
          <w:szCs w:val="20"/>
          <w:lang w:val="sr-Cyrl-RS"/>
        </w:rPr>
        <w:t>а</w:t>
      </w:r>
      <w:r w:rsidRPr="003C02EE">
        <w:rPr>
          <w:sz w:val="20"/>
          <w:szCs w:val="20"/>
          <w:lang w:val="sr-Cyrl-RS"/>
        </w:rPr>
        <w:t xml:space="preserve"> препорука Националног савета за високо обра</w:t>
      </w:r>
      <w:r w:rsidR="007124B4" w:rsidRPr="003C02EE">
        <w:rPr>
          <w:sz w:val="20"/>
          <w:szCs w:val="20"/>
          <w:lang w:val="sr-Cyrl-RS"/>
        </w:rPr>
        <w:t>з</w:t>
      </w:r>
      <w:r w:rsidRPr="003C02EE">
        <w:rPr>
          <w:sz w:val="20"/>
          <w:szCs w:val="20"/>
          <w:lang w:val="sr-Cyrl-RS"/>
        </w:rPr>
        <w:t>овање да ВШУ не може имати више од 30% студената на даљину у односу на укупан број својих студената треба</w:t>
      </w:r>
      <w:r w:rsidR="003C02EE" w:rsidRPr="003C02EE">
        <w:rPr>
          <w:sz w:val="20"/>
          <w:szCs w:val="20"/>
          <w:lang w:val="sr-Cyrl-RS"/>
        </w:rPr>
        <w:t xml:space="preserve"> се</w:t>
      </w:r>
      <w:r w:rsidRPr="003C02EE">
        <w:rPr>
          <w:sz w:val="20"/>
          <w:szCs w:val="20"/>
          <w:lang w:val="sr-Cyrl-RS"/>
        </w:rPr>
        <w:t xml:space="preserve"> у</w:t>
      </w:r>
      <w:r w:rsidR="003C02EE" w:rsidRPr="003C02EE">
        <w:rPr>
          <w:sz w:val="20"/>
          <w:szCs w:val="20"/>
          <w:lang w:val="sr-Cyrl-RS"/>
        </w:rPr>
        <w:t xml:space="preserve">кинути, јер и садашњи стандард </w:t>
      </w:r>
      <w:r w:rsidRPr="003C02EE">
        <w:rPr>
          <w:sz w:val="20"/>
          <w:szCs w:val="20"/>
          <w:lang w:val="sr-Cyrl-RS"/>
        </w:rPr>
        <w:t>акредитације предвиђа да на сваких 80 студената даљину, ВШУ мора да обезбеди по једног тутор</w:t>
      </w:r>
      <w:r w:rsidR="003C02EE" w:rsidRPr="003C02EE">
        <w:rPr>
          <w:sz w:val="20"/>
          <w:szCs w:val="20"/>
          <w:lang w:val="sr-Cyrl-RS"/>
        </w:rPr>
        <w:t>а. То гарантује исти ниво услуг</w:t>
      </w:r>
      <w:r w:rsidRPr="003C02EE">
        <w:rPr>
          <w:sz w:val="20"/>
          <w:szCs w:val="20"/>
          <w:lang w:val="sr-Cyrl-RS"/>
        </w:rPr>
        <w:t xml:space="preserve">а студенту (консултација), без </w:t>
      </w:r>
      <w:r w:rsidR="003C02EE" w:rsidRPr="003C02EE">
        <w:rPr>
          <w:sz w:val="20"/>
          <w:szCs w:val="20"/>
          <w:lang w:val="sr-Cyrl-RS"/>
        </w:rPr>
        <w:t>обзира</w:t>
      </w:r>
      <w:r w:rsidRPr="003C02EE">
        <w:rPr>
          <w:sz w:val="20"/>
          <w:szCs w:val="20"/>
          <w:lang w:val="sr-Cyrl-RS"/>
        </w:rPr>
        <w:t xml:space="preserve"> да ли их има 80 на предмету (са једним тутором), или их има 800 (са 8 тутора). Неко додатно ограничење (као постојеће са 30%) је потпун</w:t>
      </w:r>
      <w:r w:rsidR="003C02EE">
        <w:rPr>
          <w:sz w:val="20"/>
          <w:szCs w:val="20"/>
          <w:lang w:val="sr-Cyrl-RS"/>
        </w:rPr>
        <w:t>о</w:t>
      </w:r>
      <w:r w:rsidRPr="003C02EE">
        <w:rPr>
          <w:sz w:val="20"/>
          <w:szCs w:val="20"/>
          <w:lang w:val="sr-Cyrl-RS"/>
        </w:rPr>
        <w:t xml:space="preserve"> непотребно, јер нема никакве везе са квалитетом наставе на даљину. Како је </w:t>
      </w:r>
      <w:proofErr w:type="spellStart"/>
      <w:r w:rsidRPr="003C02EE">
        <w:rPr>
          <w:sz w:val="20"/>
          <w:szCs w:val="20"/>
          <w:lang w:val="sr-Cyrl-RS"/>
        </w:rPr>
        <w:t>онлајн</w:t>
      </w:r>
      <w:proofErr w:type="spellEnd"/>
      <w:r w:rsidRPr="003C02EE">
        <w:rPr>
          <w:sz w:val="20"/>
          <w:szCs w:val="20"/>
          <w:lang w:val="sr-Cyrl-RS"/>
        </w:rPr>
        <w:t xml:space="preserve"> студирање примарни начин </w:t>
      </w:r>
      <w:r w:rsidR="003C02EE" w:rsidRPr="003C02EE">
        <w:rPr>
          <w:sz w:val="20"/>
          <w:szCs w:val="20"/>
          <w:lang w:val="sr-Cyrl-RS"/>
        </w:rPr>
        <w:t>студирања</w:t>
      </w:r>
      <w:r w:rsidR="003C02EE">
        <w:rPr>
          <w:sz w:val="20"/>
          <w:szCs w:val="20"/>
          <w:lang w:val="sr-Cyrl-RS"/>
        </w:rPr>
        <w:t xml:space="preserve"> </w:t>
      </w:r>
      <w:r w:rsidRPr="003C02EE">
        <w:rPr>
          <w:sz w:val="20"/>
          <w:szCs w:val="20"/>
          <w:lang w:val="sr-Cyrl-RS"/>
        </w:rPr>
        <w:t>запослених студената, то никакво додатно ограничење таквог начина наставе не треба подржавати, ако нема везе са квалитетом образовања</w:t>
      </w:r>
      <w:r w:rsidRPr="003C02EE">
        <w:rPr>
          <w:lang w:val="sr-Cyrl-R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D2F" w:rsidRDefault="006A5D2F" w:rsidP="006225E7">
    <w:pPr>
      <w:pStyle w:val="Header"/>
      <w:jc w:val="right"/>
    </w:pPr>
    <w:r>
      <w:rPr>
        <w:noProof/>
      </w:rPr>
      <w:drawing>
        <wp:inline distT="0" distB="0" distL="0" distR="0">
          <wp:extent cx="1276350" cy="781050"/>
          <wp:effectExtent l="0" t="0" r="0" b="0"/>
          <wp:docPr id="5" name="Picture 5" descr="pt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tsc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781050"/>
                  </a:xfrm>
                  <a:prstGeom prst="rect">
                    <a:avLst/>
                  </a:prstGeom>
                  <a:noFill/>
                  <a:ln>
                    <a:noFill/>
                  </a:ln>
                </pic:spPr>
              </pic:pic>
            </a:graphicData>
          </a:graphic>
        </wp:inline>
      </w:drawing>
    </w:r>
    <w:r>
      <w:tab/>
    </w:r>
    <w:r>
      <w:tab/>
      <w:t xml:space="preserve"> </w:t>
    </w:r>
    <w:r>
      <w:rPr>
        <w:noProof/>
      </w:rPr>
      <w:drawing>
        <wp:inline distT="0" distB="0" distL="0" distR="0" wp14:anchorId="00899766" wp14:editId="3981D150">
          <wp:extent cx="1990725" cy="594674"/>
          <wp:effectExtent l="0" t="0" r="0" b="0"/>
          <wp:docPr id="2" name="Picture 2" descr="http://spu.fem.uniag.sk/Elena.Horska/foodcost/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u.fem.uniag.sk/Elena.Horska/foodcost/Erasmu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312" cy="597538"/>
                  </a:xfrm>
                  <a:prstGeom prst="rect">
                    <a:avLst/>
                  </a:prstGeom>
                  <a:noFill/>
                  <a:ln>
                    <a:noFill/>
                  </a:ln>
                </pic:spPr>
              </pic:pic>
            </a:graphicData>
          </a:graphic>
        </wp:inline>
      </w:drawing>
    </w:r>
  </w:p>
  <w:p w:rsidR="006A5D2F" w:rsidRDefault="006A5D2F" w:rsidP="006225E7">
    <w:pPr>
      <w:pStyle w:val="Header"/>
      <w:jc w:val="right"/>
    </w:pPr>
  </w:p>
  <w:p w:rsidR="006A5D2F" w:rsidRDefault="006A5D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58FE"/>
    <w:multiLevelType w:val="hybridMultilevel"/>
    <w:tmpl w:val="69D22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F38BC"/>
    <w:multiLevelType w:val="hybridMultilevel"/>
    <w:tmpl w:val="DDA47606"/>
    <w:lvl w:ilvl="0" w:tplc="0409000F">
      <w:start w:val="1"/>
      <w:numFmt w:val="decimal"/>
      <w:lvlText w:val="%1."/>
      <w:lvlJc w:val="left"/>
      <w:pPr>
        <w:ind w:left="720" w:hanging="360"/>
      </w:pPr>
    </w:lvl>
    <w:lvl w:ilvl="1" w:tplc="244E49F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45E79"/>
    <w:multiLevelType w:val="hybridMultilevel"/>
    <w:tmpl w:val="17265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323D6"/>
    <w:multiLevelType w:val="hybridMultilevel"/>
    <w:tmpl w:val="26FCDB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039A7"/>
    <w:multiLevelType w:val="hybridMultilevel"/>
    <w:tmpl w:val="0966C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7C78A2"/>
    <w:multiLevelType w:val="hybridMultilevel"/>
    <w:tmpl w:val="9236A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080B53"/>
    <w:multiLevelType w:val="hybridMultilevel"/>
    <w:tmpl w:val="365A7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AA50AB"/>
    <w:multiLevelType w:val="hybridMultilevel"/>
    <w:tmpl w:val="5BC4D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9E1ACA"/>
    <w:multiLevelType w:val="hybridMultilevel"/>
    <w:tmpl w:val="48463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A32BEA"/>
    <w:multiLevelType w:val="hybridMultilevel"/>
    <w:tmpl w:val="E0106D1E"/>
    <w:lvl w:ilvl="0" w:tplc="5C20B72E">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1D619B"/>
    <w:multiLevelType w:val="hybridMultilevel"/>
    <w:tmpl w:val="6ECAD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8"/>
  </w:num>
  <w:num w:numId="6">
    <w:abstractNumId w:val="10"/>
  </w:num>
  <w:num w:numId="7">
    <w:abstractNumId w:val="6"/>
  </w:num>
  <w:num w:numId="8">
    <w:abstractNumId w:val="7"/>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E7"/>
    <w:rsid w:val="000209DD"/>
    <w:rsid w:val="0005175E"/>
    <w:rsid w:val="00056D95"/>
    <w:rsid w:val="000A2926"/>
    <w:rsid w:val="000C058E"/>
    <w:rsid w:val="00141240"/>
    <w:rsid w:val="00146EAE"/>
    <w:rsid w:val="00147BBE"/>
    <w:rsid w:val="00185A67"/>
    <w:rsid w:val="00192B74"/>
    <w:rsid w:val="001A6300"/>
    <w:rsid w:val="001B0033"/>
    <w:rsid w:val="001C2829"/>
    <w:rsid w:val="001E5FB4"/>
    <w:rsid w:val="00226BFA"/>
    <w:rsid w:val="002275E3"/>
    <w:rsid w:val="002425BC"/>
    <w:rsid w:val="002A197D"/>
    <w:rsid w:val="003060DF"/>
    <w:rsid w:val="0039007E"/>
    <w:rsid w:val="0039376B"/>
    <w:rsid w:val="003A30B7"/>
    <w:rsid w:val="003B00D5"/>
    <w:rsid w:val="003C02EE"/>
    <w:rsid w:val="0041460A"/>
    <w:rsid w:val="00425BD5"/>
    <w:rsid w:val="00497F19"/>
    <w:rsid w:val="004A43C7"/>
    <w:rsid w:val="004B50E7"/>
    <w:rsid w:val="004E267A"/>
    <w:rsid w:val="004F0583"/>
    <w:rsid w:val="0055593B"/>
    <w:rsid w:val="00587091"/>
    <w:rsid w:val="0059403E"/>
    <w:rsid w:val="005C5887"/>
    <w:rsid w:val="005D0BC5"/>
    <w:rsid w:val="005E1D84"/>
    <w:rsid w:val="005F110F"/>
    <w:rsid w:val="005F5429"/>
    <w:rsid w:val="006225E7"/>
    <w:rsid w:val="006A5D2F"/>
    <w:rsid w:val="006B2BA7"/>
    <w:rsid w:val="006C0A8C"/>
    <w:rsid w:val="006E25CE"/>
    <w:rsid w:val="007121EC"/>
    <w:rsid w:val="007124B4"/>
    <w:rsid w:val="00726D41"/>
    <w:rsid w:val="00761A68"/>
    <w:rsid w:val="007D7CE3"/>
    <w:rsid w:val="007F172A"/>
    <w:rsid w:val="007F6D1F"/>
    <w:rsid w:val="00803480"/>
    <w:rsid w:val="008137B8"/>
    <w:rsid w:val="00894D44"/>
    <w:rsid w:val="00897FC9"/>
    <w:rsid w:val="008E2D1B"/>
    <w:rsid w:val="008E4FD1"/>
    <w:rsid w:val="00920F01"/>
    <w:rsid w:val="0093238F"/>
    <w:rsid w:val="009511AB"/>
    <w:rsid w:val="00954EBD"/>
    <w:rsid w:val="009558F1"/>
    <w:rsid w:val="00975A9F"/>
    <w:rsid w:val="00975B04"/>
    <w:rsid w:val="009D093C"/>
    <w:rsid w:val="009D0E64"/>
    <w:rsid w:val="00A05C8B"/>
    <w:rsid w:val="00A17031"/>
    <w:rsid w:val="00A658CD"/>
    <w:rsid w:val="00AB5118"/>
    <w:rsid w:val="00AE1A74"/>
    <w:rsid w:val="00AF5C0F"/>
    <w:rsid w:val="00B55375"/>
    <w:rsid w:val="00C01C5C"/>
    <w:rsid w:val="00C039EF"/>
    <w:rsid w:val="00C150B8"/>
    <w:rsid w:val="00C31213"/>
    <w:rsid w:val="00C563EF"/>
    <w:rsid w:val="00C813CE"/>
    <w:rsid w:val="00D21C5B"/>
    <w:rsid w:val="00D45A2F"/>
    <w:rsid w:val="00D60A31"/>
    <w:rsid w:val="00D83290"/>
    <w:rsid w:val="00DA4401"/>
    <w:rsid w:val="00DA5AA4"/>
    <w:rsid w:val="00DD74A1"/>
    <w:rsid w:val="00E00C3B"/>
    <w:rsid w:val="00E60844"/>
    <w:rsid w:val="00E810D0"/>
    <w:rsid w:val="00E87EDD"/>
    <w:rsid w:val="00EB4DE5"/>
    <w:rsid w:val="00F1199A"/>
    <w:rsid w:val="00F13853"/>
    <w:rsid w:val="00F16275"/>
    <w:rsid w:val="00F40B7F"/>
    <w:rsid w:val="00F71192"/>
    <w:rsid w:val="00FC76D5"/>
    <w:rsid w:val="00FD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86CADC-668C-4EDC-886C-666C9BA27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B74"/>
    <w:rPr>
      <w:rFonts w:ascii="Arial" w:hAnsi="Arial"/>
    </w:rPr>
  </w:style>
  <w:style w:type="paragraph" w:styleId="Heading1">
    <w:name w:val="heading 1"/>
    <w:basedOn w:val="Normal"/>
    <w:next w:val="Normal"/>
    <w:link w:val="Heading1Char"/>
    <w:uiPriority w:val="9"/>
    <w:qFormat/>
    <w:rsid w:val="006C0A8C"/>
    <w:pPr>
      <w:keepNext/>
      <w:keepLines/>
      <w:numPr>
        <w:numId w:val="11"/>
      </w:numPr>
      <w:spacing w:before="480" w:after="360"/>
      <w:outlineLvl w:val="0"/>
    </w:pPr>
    <w:rPr>
      <w:rFonts w:eastAsiaTheme="majorEastAsia" w:cstheme="majorBidi"/>
      <w:b/>
      <w:bCs/>
      <w:color w:val="0D0D0D" w:themeColor="text1" w:themeTint="F2"/>
      <w:sz w:val="28"/>
      <w:szCs w:val="28"/>
    </w:rPr>
  </w:style>
  <w:style w:type="paragraph" w:styleId="Heading2">
    <w:name w:val="heading 2"/>
    <w:basedOn w:val="Normal"/>
    <w:next w:val="Normal"/>
    <w:link w:val="Heading2Char"/>
    <w:uiPriority w:val="9"/>
    <w:unhideWhenUsed/>
    <w:qFormat/>
    <w:rsid w:val="006225E7"/>
    <w:pPr>
      <w:keepNext/>
      <w:keepLines/>
      <w:spacing w:before="200" w:after="240"/>
      <w:jc w:val="center"/>
      <w:outlineLvl w:val="1"/>
    </w:pPr>
    <w:rPr>
      <w:rFonts w:eastAsiaTheme="majorEastAsia" w:cstheme="majorBidi"/>
      <w:b/>
      <w:bCs/>
      <w:color w:val="0D0D0D" w:themeColor="text1" w:themeTint="F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BD5"/>
    <w:pPr>
      <w:spacing w:after="0" w:line="240" w:lineRule="auto"/>
    </w:pPr>
    <w:rPr>
      <w:rFonts w:ascii="Myriad Pro" w:hAnsi="Myriad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0000"/>
      </w:rPr>
    </w:tblStylePr>
  </w:style>
  <w:style w:type="table" w:customStyle="1" w:styleId="MetPredmeti">
    <w:name w:val="MetPredmeti"/>
    <w:basedOn w:val="TableNormal"/>
    <w:rsid w:val="00C039EF"/>
    <w:pPr>
      <w:spacing w:after="0" w:line="240" w:lineRule="auto"/>
    </w:pPr>
    <w:rPr>
      <w:rFonts w:ascii="Arial" w:eastAsia="Times New Roman" w:hAnsi="Arial" w:cs="Times New Roman"/>
      <w:sz w:val="20"/>
      <w:szCs w:val="20"/>
    </w:rPr>
    <w:tblPr/>
    <w:tcPr>
      <w:vAlign w:val="center"/>
    </w:tcPr>
  </w:style>
  <w:style w:type="paragraph" w:styleId="Header">
    <w:name w:val="header"/>
    <w:basedOn w:val="Normal"/>
    <w:link w:val="HeaderChar"/>
    <w:uiPriority w:val="99"/>
    <w:unhideWhenUsed/>
    <w:rsid w:val="00622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5E7"/>
  </w:style>
  <w:style w:type="paragraph" w:styleId="Footer">
    <w:name w:val="footer"/>
    <w:basedOn w:val="Normal"/>
    <w:link w:val="FooterChar"/>
    <w:uiPriority w:val="99"/>
    <w:unhideWhenUsed/>
    <w:rsid w:val="00622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5E7"/>
  </w:style>
  <w:style w:type="paragraph" w:styleId="BalloonText">
    <w:name w:val="Balloon Text"/>
    <w:basedOn w:val="Normal"/>
    <w:link w:val="BalloonTextChar"/>
    <w:uiPriority w:val="99"/>
    <w:semiHidden/>
    <w:unhideWhenUsed/>
    <w:rsid w:val="00622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5E7"/>
    <w:rPr>
      <w:rFonts w:ascii="Tahoma" w:hAnsi="Tahoma" w:cs="Tahoma"/>
      <w:sz w:val="16"/>
      <w:szCs w:val="16"/>
    </w:rPr>
  </w:style>
  <w:style w:type="character" w:customStyle="1" w:styleId="Heading1Char">
    <w:name w:val="Heading 1 Char"/>
    <w:basedOn w:val="DefaultParagraphFont"/>
    <w:link w:val="Heading1"/>
    <w:uiPriority w:val="9"/>
    <w:rsid w:val="006C0A8C"/>
    <w:rPr>
      <w:rFonts w:ascii="Arial" w:eastAsiaTheme="majorEastAsia" w:hAnsi="Arial" w:cstheme="majorBidi"/>
      <w:b/>
      <w:bCs/>
      <w:color w:val="0D0D0D" w:themeColor="text1" w:themeTint="F2"/>
      <w:sz w:val="28"/>
      <w:szCs w:val="28"/>
    </w:rPr>
  </w:style>
  <w:style w:type="character" w:styleId="Strong">
    <w:name w:val="Strong"/>
    <w:basedOn w:val="DefaultParagraphFont"/>
    <w:uiPriority w:val="22"/>
    <w:qFormat/>
    <w:rsid w:val="006225E7"/>
    <w:rPr>
      <w:b/>
      <w:bCs/>
    </w:rPr>
  </w:style>
  <w:style w:type="character" w:customStyle="1" w:styleId="apple-converted-space">
    <w:name w:val="apple-converted-space"/>
    <w:basedOn w:val="DefaultParagraphFont"/>
    <w:rsid w:val="006225E7"/>
  </w:style>
  <w:style w:type="character" w:customStyle="1" w:styleId="Heading2Char">
    <w:name w:val="Heading 2 Char"/>
    <w:basedOn w:val="DefaultParagraphFont"/>
    <w:link w:val="Heading2"/>
    <w:uiPriority w:val="9"/>
    <w:rsid w:val="006225E7"/>
    <w:rPr>
      <w:rFonts w:ascii="Arial" w:eastAsiaTheme="majorEastAsia" w:hAnsi="Arial" w:cstheme="majorBidi"/>
      <w:b/>
      <w:bCs/>
      <w:color w:val="0D0D0D" w:themeColor="text1" w:themeTint="F2"/>
      <w:sz w:val="28"/>
      <w:szCs w:val="26"/>
    </w:rPr>
  </w:style>
  <w:style w:type="paragraph" w:styleId="Title">
    <w:name w:val="Title"/>
    <w:basedOn w:val="Normal"/>
    <w:next w:val="Normal"/>
    <w:link w:val="TitleChar"/>
    <w:uiPriority w:val="10"/>
    <w:qFormat/>
    <w:rsid w:val="006A5D2F"/>
    <w:pPr>
      <w:pBdr>
        <w:bottom w:val="single" w:sz="8" w:space="4" w:color="4F81BD" w:themeColor="accent1"/>
      </w:pBdr>
      <w:spacing w:before="120" w:after="300" w:line="240" w:lineRule="auto"/>
      <w:contextualSpacing/>
    </w:pPr>
    <w:rPr>
      <w:rFonts w:asciiTheme="majorHAnsi" w:eastAsiaTheme="majorEastAsia" w:hAnsiTheme="majorHAnsi" w:cstheme="majorBidi"/>
      <w:color w:val="17365D" w:themeColor="text2" w:themeShade="BF"/>
      <w:spacing w:val="5"/>
      <w:kern w:val="28"/>
      <w:sz w:val="52"/>
      <w:szCs w:val="52"/>
      <w:lang w:val="hr-HR"/>
    </w:rPr>
  </w:style>
  <w:style w:type="character" w:customStyle="1" w:styleId="TitleChar">
    <w:name w:val="Title Char"/>
    <w:basedOn w:val="DefaultParagraphFont"/>
    <w:link w:val="Title"/>
    <w:uiPriority w:val="10"/>
    <w:rsid w:val="006A5D2F"/>
    <w:rPr>
      <w:rFonts w:asciiTheme="majorHAnsi" w:eastAsiaTheme="majorEastAsia" w:hAnsiTheme="majorHAnsi" w:cstheme="majorBidi"/>
      <w:color w:val="17365D" w:themeColor="text2" w:themeShade="BF"/>
      <w:spacing w:val="5"/>
      <w:kern w:val="28"/>
      <w:sz w:val="52"/>
      <w:szCs w:val="52"/>
      <w:lang w:val="hr-HR"/>
    </w:rPr>
  </w:style>
  <w:style w:type="paragraph" w:styleId="ListParagraph">
    <w:name w:val="List Paragraph"/>
    <w:basedOn w:val="Normal"/>
    <w:uiPriority w:val="34"/>
    <w:qFormat/>
    <w:rsid w:val="006A5D2F"/>
    <w:pPr>
      <w:spacing w:before="120" w:after="0" w:line="240" w:lineRule="auto"/>
      <w:ind w:left="720"/>
      <w:contextualSpacing/>
    </w:pPr>
    <w:rPr>
      <w:rFonts w:eastAsiaTheme="minorEastAsia"/>
      <w:sz w:val="24"/>
      <w:szCs w:val="24"/>
      <w:lang w:val="hr-HR"/>
    </w:rPr>
  </w:style>
  <w:style w:type="paragraph" w:styleId="FootnoteText">
    <w:name w:val="footnote text"/>
    <w:basedOn w:val="Normal"/>
    <w:link w:val="FootnoteTextChar"/>
    <w:uiPriority w:val="99"/>
    <w:unhideWhenUsed/>
    <w:rsid w:val="006A5D2F"/>
    <w:pPr>
      <w:spacing w:after="0" w:line="240" w:lineRule="auto"/>
    </w:pPr>
    <w:rPr>
      <w:rFonts w:eastAsiaTheme="minorEastAsia"/>
      <w:sz w:val="24"/>
      <w:szCs w:val="24"/>
      <w:lang w:val="hr-HR"/>
    </w:rPr>
  </w:style>
  <w:style w:type="character" w:customStyle="1" w:styleId="FootnoteTextChar">
    <w:name w:val="Footnote Text Char"/>
    <w:basedOn w:val="DefaultParagraphFont"/>
    <w:link w:val="FootnoteText"/>
    <w:uiPriority w:val="99"/>
    <w:rsid w:val="006A5D2F"/>
    <w:rPr>
      <w:rFonts w:ascii="Arial" w:eastAsiaTheme="minorEastAsia" w:hAnsi="Arial"/>
      <w:sz w:val="24"/>
      <w:szCs w:val="24"/>
      <w:lang w:val="hr-HR"/>
    </w:rPr>
  </w:style>
  <w:style w:type="character" w:styleId="FootnoteReference">
    <w:name w:val="footnote reference"/>
    <w:basedOn w:val="DefaultParagraphFont"/>
    <w:uiPriority w:val="99"/>
    <w:unhideWhenUsed/>
    <w:rsid w:val="006A5D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0D52B-A2F0-48A4-BB40-6CB792B26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1746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mladen.radic</dc:creator>
  <cp:lastModifiedBy>ladmin</cp:lastModifiedBy>
  <cp:revision>6</cp:revision>
  <dcterms:created xsi:type="dcterms:W3CDTF">2016-11-29T08:54:00Z</dcterms:created>
  <dcterms:modified xsi:type="dcterms:W3CDTF">2016-11-29T09:27:00Z</dcterms:modified>
</cp:coreProperties>
</file>