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9EA" w:rsidRPr="006A1131" w:rsidRDefault="00D429EA" w:rsidP="00D429EA">
      <w:pPr>
        <w:spacing w:after="0" w:line="240" w:lineRule="auto"/>
        <w:jc w:val="center"/>
        <w:rPr>
          <w:rFonts w:eastAsia="Calibri" w:cs="Arial"/>
          <w:b/>
          <w:lang w:val="sr-Latn-RS" w:eastAsia="de-DE"/>
        </w:rPr>
      </w:pPr>
    </w:p>
    <w:p w:rsidR="00D429EA" w:rsidRPr="000510FE" w:rsidRDefault="00D429EA" w:rsidP="00D429EA">
      <w:pPr>
        <w:spacing w:after="0" w:line="240" w:lineRule="auto"/>
        <w:jc w:val="center"/>
        <w:rPr>
          <w:rFonts w:eastAsia="Calibri" w:cs="Arial"/>
          <w:b/>
          <w:lang w:eastAsia="de-DE"/>
        </w:rPr>
      </w:pPr>
    </w:p>
    <w:p w:rsidR="00D429EA" w:rsidRPr="000510FE" w:rsidRDefault="00267747" w:rsidP="006A1131">
      <w:pPr>
        <w:spacing w:after="0" w:line="240" w:lineRule="auto"/>
        <w:jc w:val="center"/>
        <w:rPr>
          <w:rFonts w:eastAsia="Calibri" w:cs="Arial"/>
          <w:b/>
          <w:lang w:eastAsia="de-DE"/>
        </w:rPr>
      </w:pPr>
      <w:r>
        <w:rPr>
          <w:rFonts w:ascii="Times New Roman" w:eastAsia="Calibri" w:hAnsi="Times New Roman" w:cs="Arial"/>
          <w:b/>
          <w:noProof/>
        </w:rPr>
        <w:drawing>
          <wp:inline distT="0" distB="0" distL="0" distR="0">
            <wp:extent cx="3040380" cy="1885950"/>
            <wp:effectExtent l="0" t="0" r="7620" b="0"/>
            <wp:docPr id="12" name="Picture 8" descr="C:\Users\ladmin\AppData\Local\Microsoft\Windows\INetCache\Content.Word\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dmin\AppData\Local\Microsoft\Windows\INetCache\Content.Word\Colo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0380" cy="1885950"/>
                    </a:xfrm>
                    <a:prstGeom prst="rect">
                      <a:avLst/>
                    </a:prstGeom>
                    <a:noFill/>
                    <a:ln>
                      <a:noFill/>
                    </a:ln>
                  </pic:spPr>
                </pic:pic>
              </a:graphicData>
            </a:graphic>
          </wp:inline>
        </w:drawing>
      </w:r>
      <w:r w:rsidR="00D429EA" w:rsidRPr="000510FE">
        <w:rPr>
          <w:rFonts w:ascii="Times New Roman" w:eastAsia="Calibri" w:hAnsi="Times New Roman" w:cs="Arial"/>
          <w:b/>
          <w:lang w:eastAsia="de-DE"/>
        </w:rPr>
        <w:br w:type="textWrapping" w:clear="all"/>
      </w:r>
    </w:p>
    <w:p w:rsidR="00D429EA" w:rsidRPr="000510FE" w:rsidRDefault="00D429EA" w:rsidP="00D429EA">
      <w:pPr>
        <w:spacing w:after="0" w:line="240" w:lineRule="auto"/>
        <w:jc w:val="center"/>
        <w:rPr>
          <w:rFonts w:eastAsia="Calibri" w:cs="Arial"/>
          <w:b/>
          <w:lang w:val="en-GB" w:eastAsia="de-DE"/>
        </w:rPr>
      </w:pPr>
    </w:p>
    <w:p w:rsidR="00D429EA" w:rsidRPr="000510FE" w:rsidRDefault="00D429EA" w:rsidP="00D429EA">
      <w:pPr>
        <w:pBdr>
          <w:top w:val="single" w:sz="4" w:space="2" w:color="auto"/>
          <w:left w:val="single" w:sz="4" w:space="4" w:color="auto"/>
          <w:bottom w:val="single" w:sz="4" w:space="1" w:color="auto"/>
          <w:right w:val="single" w:sz="4" w:space="4" w:color="auto"/>
        </w:pBdr>
        <w:spacing w:after="0" w:line="240" w:lineRule="auto"/>
        <w:jc w:val="center"/>
        <w:rPr>
          <w:rFonts w:eastAsia="Calibri" w:cs="Arial"/>
          <w:b/>
          <w:lang w:val="en-GB" w:eastAsia="de-DE"/>
        </w:rPr>
      </w:pPr>
    </w:p>
    <w:p w:rsidR="00D429EA" w:rsidRPr="000510FE" w:rsidRDefault="00D429EA" w:rsidP="00D429EA">
      <w:pPr>
        <w:pBdr>
          <w:top w:val="single" w:sz="4" w:space="2" w:color="auto"/>
          <w:left w:val="single" w:sz="4" w:space="4" w:color="auto"/>
          <w:bottom w:val="single" w:sz="4" w:space="1" w:color="auto"/>
          <w:right w:val="single" w:sz="4" w:space="4" w:color="auto"/>
        </w:pBdr>
        <w:spacing w:after="0" w:line="240" w:lineRule="auto"/>
        <w:jc w:val="center"/>
        <w:rPr>
          <w:rFonts w:eastAsia="Calibri" w:cs="Arial"/>
          <w:b/>
          <w:lang w:val="en-GB" w:eastAsia="de-DE"/>
        </w:rPr>
      </w:pPr>
    </w:p>
    <w:p w:rsidR="006A1131" w:rsidRPr="006A1131" w:rsidRDefault="006A1131" w:rsidP="006A1131">
      <w:pPr>
        <w:pBdr>
          <w:top w:val="single" w:sz="4" w:space="2" w:color="auto"/>
          <w:left w:val="single" w:sz="4" w:space="4" w:color="auto"/>
          <w:bottom w:val="single" w:sz="4" w:space="1" w:color="auto"/>
          <w:right w:val="single" w:sz="4" w:space="4" w:color="auto"/>
        </w:pBdr>
        <w:spacing w:after="0" w:line="240" w:lineRule="auto"/>
        <w:jc w:val="center"/>
        <w:rPr>
          <w:rFonts w:eastAsia="Calibri" w:cs="Arial"/>
          <w:b/>
          <w:bCs/>
          <w:sz w:val="28"/>
          <w:szCs w:val="28"/>
          <w:lang w:val="en-GB" w:eastAsia="de-DE"/>
        </w:rPr>
      </w:pPr>
      <w:r w:rsidRPr="006A1131">
        <w:rPr>
          <w:rFonts w:eastAsia="Calibri" w:cs="Arial"/>
          <w:b/>
          <w:bCs/>
          <w:sz w:val="28"/>
          <w:szCs w:val="28"/>
          <w:lang w:val="en-GB" w:eastAsia="de-DE"/>
        </w:rPr>
        <w:t>Part-time and Short Cycle degrees in Higher Education in Serbia</w:t>
      </w:r>
    </w:p>
    <w:p w:rsidR="00D429EA" w:rsidRPr="000510FE" w:rsidRDefault="00D429EA" w:rsidP="00D429EA">
      <w:pPr>
        <w:pBdr>
          <w:top w:val="single" w:sz="4" w:space="2" w:color="auto"/>
          <w:left w:val="single" w:sz="4" w:space="4" w:color="auto"/>
          <w:bottom w:val="single" w:sz="4" w:space="1" w:color="auto"/>
          <w:right w:val="single" w:sz="4" w:space="4" w:color="auto"/>
        </w:pBdr>
        <w:spacing w:after="0" w:line="240" w:lineRule="auto"/>
        <w:jc w:val="center"/>
        <w:rPr>
          <w:rFonts w:eastAsia="Calibri" w:cs="Arial"/>
          <w:b/>
          <w:lang w:val="en-GB" w:eastAsia="de-DE"/>
        </w:rPr>
      </w:pPr>
    </w:p>
    <w:p w:rsidR="00D429EA" w:rsidRPr="000510FE" w:rsidRDefault="00D429EA" w:rsidP="00D429EA">
      <w:pPr>
        <w:spacing w:after="0" w:line="240" w:lineRule="auto"/>
        <w:jc w:val="center"/>
        <w:rPr>
          <w:rFonts w:ascii="Times New Roman" w:eastAsia="Calibri" w:hAnsi="Times New Roman" w:cs="Arial"/>
          <w:b/>
          <w:lang w:val="en-GB" w:eastAsia="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60" w:firstRow="1" w:lastRow="1" w:firstColumn="0" w:lastColumn="0" w:noHBand="0" w:noVBand="0"/>
      </w:tblPr>
      <w:tblGrid>
        <w:gridCol w:w="2476"/>
        <w:gridCol w:w="6704"/>
      </w:tblGrid>
      <w:tr w:rsidR="00D429EA" w:rsidRPr="000510FE" w:rsidTr="002C578F">
        <w:trPr>
          <w:trHeight w:val="230"/>
          <w:jc w:val="center"/>
        </w:trPr>
        <w:tc>
          <w:tcPr>
            <w:tcW w:w="2476" w:type="dxa"/>
            <w:shd w:val="clear" w:color="auto" w:fill="BFBFBF"/>
            <w:vAlign w:val="center"/>
          </w:tcPr>
          <w:p w:rsidR="00D429EA" w:rsidRPr="00945C9D" w:rsidRDefault="00D429EA" w:rsidP="00945C9D">
            <w:pPr>
              <w:spacing w:after="0" w:line="240" w:lineRule="auto"/>
              <w:rPr>
                <w:rFonts w:cs="Arial"/>
                <w:sz w:val="20"/>
                <w:szCs w:val="20"/>
                <w:lang w:val="en-GB"/>
              </w:rPr>
            </w:pPr>
            <w:r w:rsidRPr="00945C9D">
              <w:rPr>
                <w:rFonts w:cs="Arial"/>
                <w:sz w:val="20"/>
                <w:szCs w:val="20"/>
                <w:lang w:val="en-GB"/>
              </w:rPr>
              <w:t>Project Acronym:</w:t>
            </w:r>
          </w:p>
        </w:tc>
        <w:tc>
          <w:tcPr>
            <w:tcW w:w="6704" w:type="dxa"/>
            <w:shd w:val="clear" w:color="auto" w:fill="auto"/>
            <w:vAlign w:val="center"/>
          </w:tcPr>
          <w:p w:rsidR="00D429EA" w:rsidRPr="00945C9D" w:rsidRDefault="00945C9D" w:rsidP="00945C9D">
            <w:pPr>
              <w:spacing w:after="0" w:line="240" w:lineRule="auto"/>
              <w:rPr>
                <w:rFonts w:cs="Arial"/>
                <w:sz w:val="20"/>
                <w:szCs w:val="20"/>
                <w:lang w:val="en-GB"/>
              </w:rPr>
            </w:pPr>
            <w:r w:rsidRPr="00945C9D">
              <w:rPr>
                <w:rFonts w:cs="Arial"/>
                <w:sz w:val="20"/>
                <w:szCs w:val="20"/>
                <w:lang w:val="en-GB"/>
              </w:rPr>
              <w:t xml:space="preserve">PT&amp;SCHE </w:t>
            </w:r>
          </w:p>
        </w:tc>
      </w:tr>
      <w:tr w:rsidR="00D429EA" w:rsidRPr="000510FE" w:rsidTr="002C578F">
        <w:trPr>
          <w:jc w:val="center"/>
        </w:trPr>
        <w:tc>
          <w:tcPr>
            <w:tcW w:w="2476" w:type="dxa"/>
            <w:shd w:val="clear" w:color="auto" w:fill="BFBFBF"/>
            <w:vAlign w:val="center"/>
          </w:tcPr>
          <w:p w:rsidR="00D429EA" w:rsidRPr="00945C9D" w:rsidRDefault="00D429EA" w:rsidP="00945C9D">
            <w:pPr>
              <w:spacing w:after="0" w:line="240" w:lineRule="auto"/>
              <w:rPr>
                <w:rFonts w:cs="Arial"/>
                <w:sz w:val="20"/>
                <w:szCs w:val="20"/>
                <w:lang w:val="en-GB"/>
              </w:rPr>
            </w:pPr>
            <w:r w:rsidRPr="00945C9D">
              <w:rPr>
                <w:rFonts w:cs="Arial"/>
                <w:sz w:val="20"/>
                <w:szCs w:val="20"/>
                <w:lang w:val="en-GB"/>
              </w:rPr>
              <w:t>Project full title:</w:t>
            </w:r>
          </w:p>
        </w:tc>
        <w:tc>
          <w:tcPr>
            <w:tcW w:w="6704" w:type="dxa"/>
            <w:shd w:val="clear" w:color="auto" w:fill="auto"/>
            <w:vAlign w:val="center"/>
          </w:tcPr>
          <w:p w:rsidR="00D429EA" w:rsidRPr="00945C9D" w:rsidRDefault="00945C9D" w:rsidP="00945C9D">
            <w:pPr>
              <w:spacing w:after="0" w:line="240" w:lineRule="auto"/>
              <w:rPr>
                <w:rFonts w:cs="Arial"/>
                <w:sz w:val="20"/>
                <w:szCs w:val="20"/>
                <w:highlight w:val="yellow"/>
                <w:lang w:val="en-GB" w:eastAsia="hu-HU"/>
              </w:rPr>
            </w:pPr>
            <w:r w:rsidRPr="00945C9D">
              <w:rPr>
                <w:rFonts w:cs="Arial"/>
                <w:sz w:val="20"/>
                <w:szCs w:val="20"/>
                <w:lang w:val="en-GB"/>
              </w:rPr>
              <w:t>The Introduction of part</w:t>
            </w:r>
            <w:r w:rsidRPr="00945C9D">
              <w:rPr>
                <w:rFonts w:ascii="Cambria Math" w:hAnsi="Cambria Math" w:cs="Cambria Math"/>
                <w:sz w:val="20"/>
                <w:szCs w:val="20"/>
                <w:lang w:val="en-GB"/>
              </w:rPr>
              <w:t>‐</w:t>
            </w:r>
            <w:r w:rsidRPr="00945C9D">
              <w:rPr>
                <w:rFonts w:cs="Arial"/>
                <w:sz w:val="20"/>
                <w:szCs w:val="20"/>
                <w:lang w:val="en-GB"/>
              </w:rPr>
              <w:t>time and short cycle studies in Serbia</w:t>
            </w:r>
          </w:p>
        </w:tc>
      </w:tr>
      <w:tr w:rsidR="00D429EA" w:rsidRPr="000510FE" w:rsidTr="002C578F">
        <w:trPr>
          <w:jc w:val="center"/>
        </w:trPr>
        <w:tc>
          <w:tcPr>
            <w:tcW w:w="2476" w:type="dxa"/>
            <w:shd w:val="clear" w:color="auto" w:fill="BFBFBF"/>
            <w:vAlign w:val="center"/>
          </w:tcPr>
          <w:p w:rsidR="00D429EA" w:rsidRPr="00945C9D" w:rsidRDefault="00D429EA" w:rsidP="00945C9D">
            <w:pPr>
              <w:spacing w:after="0" w:line="240" w:lineRule="auto"/>
              <w:rPr>
                <w:rFonts w:cs="Arial"/>
                <w:sz w:val="20"/>
                <w:szCs w:val="20"/>
                <w:lang w:val="en-GB" w:eastAsia="hu-HU"/>
              </w:rPr>
            </w:pPr>
            <w:r w:rsidRPr="00945C9D">
              <w:rPr>
                <w:rFonts w:cs="Arial"/>
                <w:sz w:val="20"/>
                <w:szCs w:val="20"/>
                <w:lang w:val="en-GB"/>
              </w:rPr>
              <w:t>Project No:</w:t>
            </w:r>
          </w:p>
        </w:tc>
        <w:tc>
          <w:tcPr>
            <w:tcW w:w="6704" w:type="dxa"/>
            <w:shd w:val="clear" w:color="auto" w:fill="auto"/>
            <w:vAlign w:val="center"/>
          </w:tcPr>
          <w:p w:rsidR="00D429EA" w:rsidRPr="00945C9D" w:rsidRDefault="00994671" w:rsidP="00945C9D">
            <w:pPr>
              <w:spacing w:after="0" w:line="240" w:lineRule="auto"/>
              <w:rPr>
                <w:rFonts w:cs="Arial"/>
                <w:sz w:val="20"/>
                <w:szCs w:val="20"/>
                <w:lang w:val="en-GB" w:eastAsia="hu-HU"/>
              </w:rPr>
            </w:pPr>
            <w:r w:rsidRPr="00994671">
              <w:rPr>
                <w:rFonts w:cs="Arial"/>
                <w:sz w:val="20"/>
                <w:szCs w:val="20"/>
                <w:lang w:val="en-GB"/>
              </w:rPr>
              <w:t>561868-EPP-1-2015-1-EE-EPPKA2-CBHE-SP</w:t>
            </w:r>
          </w:p>
        </w:tc>
      </w:tr>
      <w:tr w:rsidR="00D429EA" w:rsidRPr="000510FE" w:rsidTr="002C578F">
        <w:trPr>
          <w:jc w:val="center"/>
        </w:trPr>
        <w:tc>
          <w:tcPr>
            <w:tcW w:w="2476" w:type="dxa"/>
            <w:shd w:val="clear" w:color="auto" w:fill="BFBFBF"/>
            <w:vAlign w:val="center"/>
          </w:tcPr>
          <w:p w:rsidR="00D429EA" w:rsidRPr="00945C9D" w:rsidRDefault="00D429EA" w:rsidP="00945C9D">
            <w:pPr>
              <w:spacing w:after="0" w:line="240" w:lineRule="auto"/>
              <w:rPr>
                <w:rFonts w:cs="Arial"/>
                <w:sz w:val="20"/>
                <w:szCs w:val="20"/>
                <w:lang w:val="en-GB" w:eastAsia="hu-HU"/>
              </w:rPr>
            </w:pPr>
            <w:r w:rsidRPr="00945C9D">
              <w:rPr>
                <w:rFonts w:cs="Arial"/>
                <w:sz w:val="20"/>
                <w:szCs w:val="20"/>
                <w:lang w:val="en-GB"/>
              </w:rPr>
              <w:t>Funding Scheme:</w:t>
            </w:r>
          </w:p>
        </w:tc>
        <w:tc>
          <w:tcPr>
            <w:tcW w:w="6704" w:type="dxa"/>
            <w:shd w:val="clear" w:color="auto" w:fill="auto"/>
            <w:vAlign w:val="center"/>
          </w:tcPr>
          <w:p w:rsidR="00D429EA" w:rsidRPr="00945C9D" w:rsidRDefault="00D429EA" w:rsidP="00945C9D">
            <w:pPr>
              <w:spacing w:after="0" w:line="240" w:lineRule="auto"/>
              <w:rPr>
                <w:rFonts w:cs="Arial"/>
                <w:sz w:val="20"/>
                <w:szCs w:val="20"/>
                <w:lang w:val="en-GB" w:eastAsia="hu-HU"/>
              </w:rPr>
            </w:pPr>
            <w:r w:rsidRPr="00945C9D">
              <w:rPr>
                <w:rFonts w:cs="Arial"/>
                <w:sz w:val="20"/>
                <w:szCs w:val="20"/>
                <w:lang w:val="en-GB"/>
              </w:rPr>
              <w:t>ERASMUS+</w:t>
            </w:r>
          </w:p>
        </w:tc>
      </w:tr>
      <w:tr w:rsidR="00D429EA" w:rsidRPr="000510FE" w:rsidTr="002C578F">
        <w:trPr>
          <w:jc w:val="center"/>
        </w:trPr>
        <w:tc>
          <w:tcPr>
            <w:tcW w:w="2476" w:type="dxa"/>
            <w:shd w:val="clear" w:color="auto" w:fill="BFBFBF"/>
            <w:vAlign w:val="center"/>
          </w:tcPr>
          <w:p w:rsidR="00D429EA" w:rsidRPr="00945C9D" w:rsidRDefault="00D429EA" w:rsidP="00945C9D">
            <w:pPr>
              <w:spacing w:after="0" w:line="240" w:lineRule="auto"/>
              <w:rPr>
                <w:rFonts w:cs="Arial"/>
                <w:sz w:val="20"/>
                <w:szCs w:val="20"/>
                <w:lang w:val="en-GB" w:eastAsia="hu-HU"/>
              </w:rPr>
            </w:pPr>
            <w:r w:rsidRPr="00945C9D">
              <w:rPr>
                <w:rFonts w:cs="Arial"/>
                <w:sz w:val="20"/>
                <w:szCs w:val="20"/>
                <w:lang w:val="en-GB"/>
              </w:rPr>
              <w:t>Coordinator:</w:t>
            </w:r>
          </w:p>
        </w:tc>
        <w:tc>
          <w:tcPr>
            <w:tcW w:w="6704" w:type="dxa"/>
            <w:shd w:val="clear" w:color="auto" w:fill="auto"/>
            <w:vAlign w:val="center"/>
          </w:tcPr>
          <w:p w:rsidR="00D429EA" w:rsidRPr="00945C9D" w:rsidRDefault="00945C9D" w:rsidP="00945C9D">
            <w:pPr>
              <w:spacing w:after="0" w:line="240" w:lineRule="auto"/>
              <w:rPr>
                <w:rFonts w:cs="Arial"/>
                <w:sz w:val="20"/>
                <w:szCs w:val="20"/>
                <w:highlight w:val="yellow"/>
                <w:lang w:val="en-GB" w:eastAsia="hu-HU"/>
              </w:rPr>
            </w:pPr>
            <w:r w:rsidRPr="00945C9D">
              <w:rPr>
                <w:rFonts w:cs="Arial"/>
                <w:sz w:val="20"/>
                <w:szCs w:val="20"/>
                <w:lang w:val="en-GB" w:eastAsia="hu-HU"/>
              </w:rPr>
              <w:t>Tallinn University, TLU</w:t>
            </w:r>
          </w:p>
        </w:tc>
      </w:tr>
      <w:tr w:rsidR="00D429EA" w:rsidRPr="000510FE" w:rsidTr="002C578F">
        <w:trPr>
          <w:jc w:val="center"/>
        </w:trPr>
        <w:tc>
          <w:tcPr>
            <w:tcW w:w="2476" w:type="dxa"/>
            <w:shd w:val="clear" w:color="auto" w:fill="BFBFBF"/>
            <w:vAlign w:val="center"/>
          </w:tcPr>
          <w:p w:rsidR="00D429EA" w:rsidRPr="00945C9D" w:rsidRDefault="00D429EA" w:rsidP="00945C9D">
            <w:pPr>
              <w:spacing w:after="0" w:line="240" w:lineRule="auto"/>
              <w:rPr>
                <w:rFonts w:cs="Arial"/>
                <w:sz w:val="20"/>
                <w:szCs w:val="20"/>
                <w:lang w:val="en-GB" w:eastAsia="hu-HU"/>
              </w:rPr>
            </w:pPr>
            <w:r w:rsidRPr="00945C9D">
              <w:rPr>
                <w:rFonts w:cs="Arial"/>
                <w:sz w:val="20"/>
                <w:szCs w:val="20"/>
                <w:lang w:val="en-GB"/>
              </w:rPr>
              <w:t>Project start date:</w:t>
            </w:r>
          </w:p>
        </w:tc>
        <w:tc>
          <w:tcPr>
            <w:tcW w:w="6704" w:type="dxa"/>
            <w:shd w:val="clear" w:color="auto" w:fill="auto"/>
            <w:vAlign w:val="center"/>
          </w:tcPr>
          <w:p w:rsidR="00D429EA" w:rsidRPr="00945C9D" w:rsidRDefault="00D429EA" w:rsidP="00945C9D">
            <w:pPr>
              <w:spacing w:after="0" w:line="240" w:lineRule="auto"/>
              <w:rPr>
                <w:rFonts w:cs="Arial"/>
                <w:sz w:val="20"/>
                <w:szCs w:val="20"/>
                <w:highlight w:val="yellow"/>
                <w:lang w:val="en-GB" w:eastAsia="hu-HU"/>
              </w:rPr>
            </w:pPr>
            <w:r w:rsidRPr="00747C7E">
              <w:rPr>
                <w:rFonts w:cs="Arial"/>
                <w:sz w:val="20"/>
                <w:szCs w:val="20"/>
                <w:lang w:val="en-GB"/>
              </w:rPr>
              <w:t>October 15, 2015</w:t>
            </w:r>
          </w:p>
        </w:tc>
      </w:tr>
      <w:tr w:rsidR="00D429EA" w:rsidRPr="000510FE" w:rsidTr="002C578F">
        <w:trPr>
          <w:jc w:val="center"/>
        </w:trPr>
        <w:tc>
          <w:tcPr>
            <w:tcW w:w="2476" w:type="dxa"/>
            <w:shd w:val="clear" w:color="auto" w:fill="BFBFBF"/>
            <w:vAlign w:val="center"/>
          </w:tcPr>
          <w:p w:rsidR="00D429EA" w:rsidRPr="00945C9D" w:rsidRDefault="00D429EA" w:rsidP="00945C9D">
            <w:pPr>
              <w:spacing w:after="0" w:line="240" w:lineRule="auto"/>
              <w:rPr>
                <w:rFonts w:cs="Arial"/>
                <w:sz w:val="20"/>
                <w:szCs w:val="20"/>
                <w:lang w:val="en-GB" w:eastAsia="hu-HU"/>
              </w:rPr>
            </w:pPr>
            <w:r w:rsidRPr="00945C9D">
              <w:rPr>
                <w:rFonts w:cs="Arial"/>
                <w:sz w:val="20"/>
                <w:szCs w:val="20"/>
                <w:lang w:val="en-GB"/>
              </w:rPr>
              <w:t>Project duration:</w:t>
            </w:r>
          </w:p>
        </w:tc>
        <w:tc>
          <w:tcPr>
            <w:tcW w:w="6704" w:type="dxa"/>
            <w:shd w:val="clear" w:color="auto" w:fill="auto"/>
            <w:vAlign w:val="center"/>
          </w:tcPr>
          <w:p w:rsidR="00D429EA" w:rsidRPr="00945C9D" w:rsidRDefault="00D429EA" w:rsidP="00945C9D">
            <w:pPr>
              <w:spacing w:after="0" w:line="240" w:lineRule="auto"/>
              <w:rPr>
                <w:rFonts w:cs="Arial"/>
                <w:sz w:val="20"/>
                <w:szCs w:val="20"/>
                <w:highlight w:val="yellow"/>
                <w:lang w:val="en-GB" w:eastAsia="hu-HU"/>
              </w:rPr>
            </w:pPr>
            <w:r w:rsidRPr="00945C9D">
              <w:rPr>
                <w:rFonts w:cs="Arial"/>
                <w:sz w:val="20"/>
                <w:szCs w:val="20"/>
                <w:lang w:val="en-GB"/>
              </w:rPr>
              <w:t>36 months</w:t>
            </w:r>
          </w:p>
        </w:tc>
      </w:tr>
    </w:tbl>
    <w:p w:rsidR="00D429EA" w:rsidRPr="000510FE" w:rsidRDefault="00D429EA" w:rsidP="00D429EA">
      <w:pPr>
        <w:spacing w:after="0" w:line="240" w:lineRule="auto"/>
        <w:jc w:val="center"/>
        <w:rPr>
          <w:rFonts w:ascii="Times New Roman" w:eastAsia="Calibri" w:hAnsi="Times New Roman" w:cs="Arial"/>
          <w:b/>
          <w:lang w:val="en-GB" w:eastAsia="de-DE"/>
        </w:rPr>
      </w:pPr>
    </w:p>
    <w:tbl>
      <w:tblPr>
        <w:tblpPr w:leftFromText="180" w:rightFromText="180" w:vertAnchor="text" w:horzAnchor="margin" w:tblpY="-4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60" w:firstRow="1" w:lastRow="1" w:firstColumn="0" w:lastColumn="0" w:noHBand="0" w:noVBand="0"/>
      </w:tblPr>
      <w:tblGrid>
        <w:gridCol w:w="2505"/>
        <w:gridCol w:w="6825"/>
      </w:tblGrid>
      <w:tr w:rsidR="006A1131" w:rsidRPr="000510FE" w:rsidTr="006A1131">
        <w:trPr>
          <w:trHeight w:val="230"/>
        </w:trPr>
        <w:tc>
          <w:tcPr>
            <w:tcW w:w="2505" w:type="dxa"/>
            <w:shd w:val="clear" w:color="auto" w:fill="BFBFBF" w:themeFill="background1" w:themeFillShade="BF"/>
            <w:vAlign w:val="center"/>
          </w:tcPr>
          <w:p w:rsidR="006A1131" w:rsidRPr="000510FE" w:rsidRDefault="006A1131" w:rsidP="006A1131">
            <w:pPr>
              <w:rPr>
                <w:lang w:val="en-GB"/>
              </w:rPr>
            </w:pPr>
            <w:r w:rsidRPr="000510FE">
              <w:rPr>
                <w:lang w:val="en-GB"/>
              </w:rPr>
              <w:t>Abstract</w:t>
            </w:r>
          </w:p>
          <w:p w:rsidR="006A1131" w:rsidRPr="000510FE" w:rsidRDefault="006A1131" w:rsidP="006A1131">
            <w:pPr>
              <w:rPr>
                <w:lang w:val="en-GB"/>
              </w:rPr>
            </w:pPr>
          </w:p>
        </w:tc>
        <w:tc>
          <w:tcPr>
            <w:tcW w:w="6825" w:type="dxa"/>
            <w:shd w:val="clear" w:color="auto" w:fill="auto"/>
            <w:vAlign w:val="center"/>
          </w:tcPr>
          <w:p w:rsidR="006A1131" w:rsidRPr="000510FE" w:rsidRDefault="006A1131" w:rsidP="00502679">
            <w:pPr>
              <w:jc w:val="both"/>
              <w:rPr>
                <w:lang w:val="en-GB"/>
              </w:rPr>
            </w:pPr>
            <w:r w:rsidRPr="006A1131">
              <w:rPr>
                <w:lang w:val="en-GB"/>
              </w:rPr>
              <w:t>This document sets out the current state of affairs in European Union members and what is desired in Serbia for part-time degrees and short-cycle degrees in higher education. We first outline the basis of this report, then offer some background on higher education in Europe to put short cycle and part-time study in context of the three study cycles. Then we explore short cycle and part-time study in more detail.</w:t>
            </w:r>
          </w:p>
        </w:tc>
      </w:tr>
    </w:tbl>
    <w:p w:rsidR="00D429EA" w:rsidRPr="000510FE" w:rsidRDefault="00D429EA" w:rsidP="00D429EA">
      <w:pPr>
        <w:spacing w:after="0" w:line="240" w:lineRule="auto"/>
        <w:jc w:val="center"/>
        <w:rPr>
          <w:rFonts w:ascii="Times New Roman" w:eastAsia="Calibri" w:hAnsi="Times New Roman" w:cs="Arial"/>
          <w:b/>
          <w:lang w:val="en-GB" w:eastAsia="de-DE"/>
        </w:rPr>
      </w:pPr>
    </w:p>
    <w:p w:rsidR="00D429EA" w:rsidRPr="000510FE" w:rsidRDefault="00D429EA" w:rsidP="00D429EA">
      <w:pPr>
        <w:spacing w:after="0" w:line="240" w:lineRule="auto"/>
        <w:jc w:val="center"/>
        <w:rPr>
          <w:rFonts w:ascii="Times New Roman" w:eastAsia="Calibri" w:hAnsi="Times New Roman" w:cs="Arial"/>
          <w:b/>
          <w:lang w:val="en-GB" w:eastAsia="de-DE"/>
        </w:rPr>
      </w:pPr>
    </w:p>
    <w:p w:rsidR="00747C7E" w:rsidRPr="00FC381E" w:rsidRDefault="00747C7E" w:rsidP="00FC381E">
      <w:pPr>
        <w:jc w:val="center"/>
        <w:rPr>
          <w:rFonts w:eastAsia="Times New Roman" w:cs="Arial"/>
          <w:bCs/>
          <w:i/>
          <w:sz w:val="20"/>
          <w:szCs w:val="24"/>
          <w:lang w:eastAsia="de-DE"/>
        </w:rPr>
      </w:pPr>
      <w:r w:rsidRPr="00747C7E">
        <w:rPr>
          <w:rFonts w:eastAsia="Times New Roman" w:cs="Arial"/>
          <w:bCs/>
          <w:i/>
          <w:sz w:val="20"/>
          <w:szCs w:val="24"/>
          <w:lang w:eastAsia="de-DE"/>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bookmarkStart w:id="0" w:name="_Toc347927424"/>
      <w:bookmarkStart w:id="1" w:name="_Toc437508904"/>
    </w:p>
    <w:bookmarkEnd w:id="0"/>
    <w:bookmarkEnd w:id="1"/>
    <w:p w:rsidR="00D429EA" w:rsidRDefault="00D429EA" w:rsidP="00D429EA">
      <w:pPr>
        <w:spacing w:after="0" w:line="240" w:lineRule="auto"/>
        <w:jc w:val="both"/>
        <w:rPr>
          <w:rFonts w:eastAsia="Calibri" w:cs="Arial"/>
          <w:bCs/>
          <w:sz w:val="20"/>
          <w:szCs w:val="20"/>
          <w:lang w:val="en-GB" w:eastAsia="de-DE"/>
        </w:rPr>
      </w:pPr>
    </w:p>
    <w:p w:rsidR="001147C6" w:rsidRPr="000510FE" w:rsidRDefault="001147C6" w:rsidP="00D429EA">
      <w:pPr>
        <w:spacing w:after="0" w:line="240" w:lineRule="auto"/>
        <w:jc w:val="both"/>
        <w:rPr>
          <w:rFonts w:eastAsia="Calibri" w:cs="Arial"/>
          <w:bCs/>
          <w:sz w:val="20"/>
          <w:szCs w:val="20"/>
          <w:lang w:val="en-GB" w:eastAsia="de-DE"/>
        </w:rPr>
      </w:pPr>
      <w:bookmarkStart w:id="2" w:name="_GoBack"/>
      <w:bookmarkEnd w:id="2"/>
    </w:p>
    <w:p w:rsidR="00747C7E" w:rsidRPr="00B4451D" w:rsidRDefault="00747C7E" w:rsidP="00747C7E">
      <w:pPr>
        <w:pStyle w:val="IF4TMheader"/>
        <w:outlineLvl w:val="0"/>
      </w:pPr>
      <w:bookmarkStart w:id="3" w:name="_Toc347927423"/>
      <w:bookmarkStart w:id="4" w:name="_Toc349768023"/>
      <w:bookmarkStart w:id="5" w:name="_Toc437957165"/>
      <w:bookmarkStart w:id="6" w:name="_Toc475347712"/>
      <w:bookmarkStart w:id="7" w:name="_Toc5368356"/>
      <w:r w:rsidRPr="00B4451D">
        <w:t>DOCUMENT CONTROL SHEET</w:t>
      </w:r>
      <w:bookmarkEnd w:id="3"/>
      <w:bookmarkEnd w:id="4"/>
      <w:bookmarkEnd w:id="5"/>
      <w:bookmarkEnd w:id="6"/>
      <w:bookmarkEnd w:id="7"/>
    </w:p>
    <w:p w:rsidR="00747C7E" w:rsidRPr="00B4451D" w:rsidRDefault="00747C7E" w:rsidP="00747C7E">
      <w:pPr>
        <w:rPr>
          <w:rFonts w:cs="Arial"/>
          <w:sz w:val="20"/>
          <w:szCs w:val="20"/>
          <w:lang w:val="en-GB" w:eastAsia="cs-CZ"/>
        </w:rPr>
      </w:pPr>
    </w:p>
    <w:p w:rsidR="00747C7E" w:rsidRPr="00B4451D" w:rsidRDefault="00747C7E" w:rsidP="00747C7E">
      <w:pPr>
        <w:rPr>
          <w:rFonts w:cs="Arial"/>
          <w:sz w:val="20"/>
          <w:szCs w:val="20"/>
          <w:lang w:val="en-GB" w:eastAsia="cs-CZ"/>
        </w:rPr>
      </w:pPr>
    </w:p>
    <w:tbl>
      <w:tblPr>
        <w:tblW w:w="91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660"/>
        <w:gridCol w:w="6538"/>
      </w:tblGrid>
      <w:tr w:rsidR="00747C7E" w:rsidRPr="00B4451D" w:rsidTr="0076389F">
        <w:trPr>
          <w:trHeight w:val="310"/>
          <w:jc w:val="center"/>
        </w:trPr>
        <w:tc>
          <w:tcPr>
            <w:tcW w:w="2660" w:type="dxa"/>
            <w:shd w:val="clear" w:color="auto" w:fill="BFBFBF"/>
            <w:vAlign w:val="center"/>
          </w:tcPr>
          <w:p w:rsidR="00747C7E" w:rsidRPr="00190354" w:rsidRDefault="00747C7E" w:rsidP="0076389F">
            <w:pPr>
              <w:pStyle w:val="IF4TMtable"/>
            </w:pPr>
            <w:r w:rsidRPr="00190354">
              <w:t xml:space="preserve">Title of Document: </w:t>
            </w:r>
          </w:p>
        </w:tc>
        <w:tc>
          <w:tcPr>
            <w:tcW w:w="6538" w:type="dxa"/>
            <w:shd w:val="clear" w:color="auto" w:fill="auto"/>
            <w:vAlign w:val="center"/>
          </w:tcPr>
          <w:p w:rsidR="00747C7E" w:rsidRPr="00232590" w:rsidRDefault="006A1131" w:rsidP="006A1131">
            <w:pPr>
              <w:pStyle w:val="IF4TMtable"/>
            </w:pPr>
            <w:r>
              <w:t>D1.1 Part-time and Short Cycle degrees in Higher Education in Serbia</w:t>
            </w:r>
          </w:p>
        </w:tc>
      </w:tr>
      <w:tr w:rsidR="00747C7E" w:rsidRPr="00B4451D" w:rsidTr="0076389F">
        <w:trPr>
          <w:trHeight w:val="310"/>
          <w:jc w:val="center"/>
        </w:trPr>
        <w:tc>
          <w:tcPr>
            <w:tcW w:w="2660" w:type="dxa"/>
            <w:shd w:val="clear" w:color="auto" w:fill="BFBFBF"/>
            <w:vAlign w:val="center"/>
          </w:tcPr>
          <w:p w:rsidR="00747C7E" w:rsidRPr="00190354" w:rsidRDefault="00747C7E" w:rsidP="0076389F">
            <w:pPr>
              <w:pStyle w:val="IF4TMtable"/>
            </w:pPr>
            <w:r w:rsidRPr="00190354">
              <w:t>Work Package:</w:t>
            </w:r>
          </w:p>
        </w:tc>
        <w:tc>
          <w:tcPr>
            <w:tcW w:w="6538" w:type="dxa"/>
            <w:shd w:val="clear" w:color="auto" w:fill="auto"/>
            <w:vAlign w:val="center"/>
          </w:tcPr>
          <w:p w:rsidR="00747C7E" w:rsidRPr="00747C7E" w:rsidRDefault="006A1131" w:rsidP="0076389F">
            <w:pPr>
              <w:pStyle w:val="IF4TMtable"/>
              <w:rPr>
                <w:highlight w:val="yellow"/>
              </w:rPr>
            </w:pPr>
            <w:r w:rsidRPr="006A1131">
              <w:t>W</w:t>
            </w:r>
            <w:r>
              <w:t xml:space="preserve">P1 </w:t>
            </w:r>
            <w:r w:rsidRPr="006A1131">
              <w:t>Benchmark analysis of the policies and legal frameworks for PT&amp;SCHE in PR</w:t>
            </w:r>
          </w:p>
        </w:tc>
      </w:tr>
      <w:tr w:rsidR="00747C7E" w:rsidRPr="00B4451D" w:rsidTr="0076389F">
        <w:trPr>
          <w:trHeight w:val="313"/>
          <w:jc w:val="center"/>
        </w:trPr>
        <w:tc>
          <w:tcPr>
            <w:tcW w:w="2660" w:type="dxa"/>
            <w:shd w:val="clear" w:color="auto" w:fill="BFBFBF"/>
            <w:vAlign w:val="center"/>
          </w:tcPr>
          <w:p w:rsidR="00747C7E" w:rsidRPr="00190354" w:rsidRDefault="00747C7E" w:rsidP="0076389F">
            <w:pPr>
              <w:pStyle w:val="IF4TMtable"/>
            </w:pPr>
            <w:r w:rsidRPr="00190354">
              <w:t>Last version date:</w:t>
            </w:r>
          </w:p>
        </w:tc>
        <w:tc>
          <w:tcPr>
            <w:tcW w:w="6538" w:type="dxa"/>
            <w:shd w:val="clear" w:color="auto" w:fill="auto"/>
            <w:vAlign w:val="center"/>
          </w:tcPr>
          <w:p w:rsidR="00747C7E" w:rsidRPr="00747C7E" w:rsidRDefault="00604601" w:rsidP="0076389F">
            <w:pPr>
              <w:pStyle w:val="IF4TMtable"/>
              <w:rPr>
                <w:highlight w:val="yellow"/>
              </w:rPr>
            </w:pPr>
            <w:r>
              <w:t>29/06/2016</w:t>
            </w:r>
          </w:p>
        </w:tc>
      </w:tr>
      <w:tr w:rsidR="00747C7E" w:rsidRPr="00B4451D" w:rsidTr="0076389F">
        <w:trPr>
          <w:trHeight w:val="313"/>
          <w:jc w:val="center"/>
        </w:trPr>
        <w:tc>
          <w:tcPr>
            <w:tcW w:w="2660" w:type="dxa"/>
            <w:shd w:val="clear" w:color="auto" w:fill="BFBFBF"/>
            <w:vAlign w:val="center"/>
          </w:tcPr>
          <w:p w:rsidR="00747C7E" w:rsidRPr="00190354" w:rsidRDefault="00747C7E" w:rsidP="0076389F">
            <w:pPr>
              <w:pStyle w:val="IF4TMtable"/>
            </w:pPr>
            <w:r w:rsidRPr="00190354">
              <w:t>Status :</w:t>
            </w:r>
          </w:p>
        </w:tc>
        <w:tc>
          <w:tcPr>
            <w:tcW w:w="6538" w:type="dxa"/>
            <w:shd w:val="clear" w:color="auto" w:fill="auto"/>
            <w:vAlign w:val="center"/>
          </w:tcPr>
          <w:p w:rsidR="00747C7E" w:rsidRPr="006A1131" w:rsidRDefault="00747C7E" w:rsidP="0076389F">
            <w:pPr>
              <w:pStyle w:val="IF4TMtable"/>
            </w:pPr>
            <w:r w:rsidRPr="006A1131">
              <w:t xml:space="preserve">Draft </w:t>
            </w:r>
          </w:p>
        </w:tc>
      </w:tr>
      <w:tr w:rsidR="00747C7E" w:rsidRPr="00B4451D" w:rsidTr="0076389F">
        <w:trPr>
          <w:trHeight w:val="310"/>
          <w:jc w:val="center"/>
        </w:trPr>
        <w:tc>
          <w:tcPr>
            <w:tcW w:w="2660" w:type="dxa"/>
            <w:shd w:val="clear" w:color="auto" w:fill="BFBFBF"/>
            <w:vAlign w:val="center"/>
          </w:tcPr>
          <w:p w:rsidR="00747C7E" w:rsidRPr="00190354" w:rsidRDefault="00747C7E" w:rsidP="0076389F">
            <w:pPr>
              <w:pStyle w:val="IF4TMtable"/>
            </w:pPr>
            <w:r w:rsidRPr="00190354">
              <w:t xml:space="preserve">Document Version: </w:t>
            </w:r>
          </w:p>
        </w:tc>
        <w:tc>
          <w:tcPr>
            <w:tcW w:w="6538" w:type="dxa"/>
            <w:shd w:val="clear" w:color="auto" w:fill="auto"/>
            <w:vAlign w:val="center"/>
          </w:tcPr>
          <w:p w:rsidR="00747C7E" w:rsidRPr="006A1131" w:rsidRDefault="00747C7E" w:rsidP="0076389F">
            <w:pPr>
              <w:pStyle w:val="IF4TMtable"/>
            </w:pPr>
            <w:r w:rsidRPr="006A1131">
              <w:t>1.0</w:t>
            </w:r>
          </w:p>
        </w:tc>
      </w:tr>
      <w:tr w:rsidR="00747C7E" w:rsidRPr="00B4451D" w:rsidTr="0076389F">
        <w:trPr>
          <w:trHeight w:val="338"/>
          <w:jc w:val="center"/>
        </w:trPr>
        <w:tc>
          <w:tcPr>
            <w:tcW w:w="2660" w:type="dxa"/>
            <w:shd w:val="clear" w:color="auto" w:fill="BFBFBF"/>
            <w:vAlign w:val="center"/>
          </w:tcPr>
          <w:p w:rsidR="00747C7E" w:rsidRPr="00190354" w:rsidRDefault="00747C7E" w:rsidP="0076389F">
            <w:pPr>
              <w:pStyle w:val="IF4TMtable"/>
            </w:pPr>
            <w:r w:rsidRPr="00190354">
              <w:t xml:space="preserve">File Name </w:t>
            </w:r>
          </w:p>
        </w:tc>
        <w:tc>
          <w:tcPr>
            <w:tcW w:w="6538" w:type="dxa"/>
            <w:shd w:val="clear" w:color="auto" w:fill="auto"/>
            <w:vAlign w:val="center"/>
          </w:tcPr>
          <w:p w:rsidR="00747C7E" w:rsidRPr="00232590" w:rsidRDefault="006A1131" w:rsidP="006A1131">
            <w:pPr>
              <w:pStyle w:val="IF4TMtable"/>
            </w:pPr>
            <w:r>
              <w:t>Part-time and Short Cycle degrees in Higher Education in Serbia</w:t>
            </w:r>
          </w:p>
        </w:tc>
      </w:tr>
      <w:tr w:rsidR="00747C7E" w:rsidRPr="00B4451D" w:rsidTr="0076389F">
        <w:trPr>
          <w:trHeight w:val="310"/>
          <w:jc w:val="center"/>
        </w:trPr>
        <w:tc>
          <w:tcPr>
            <w:tcW w:w="2660" w:type="dxa"/>
            <w:shd w:val="clear" w:color="auto" w:fill="BFBFBF"/>
            <w:vAlign w:val="center"/>
          </w:tcPr>
          <w:p w:rsidR="00747C7E" w:rsidRPr="00190354" w:rsidRDefault="00747C7E" w:rsidP="0076389F">
            <w:pPr>
              <w:pStyle w:val="IF4TMtable"/>
            </w:pPr>
            <w:r w:rsidRPr="00190354">
              <w:t xml:space="preserve">Number of Pages </w:t>
            </w:r>
          </w:p>
        </w:tc>
        <w:tc>
          <w:tcPr>
            <w:tcW w:w="6538" w:type="dxa"/>
            <w:shd w:val="clear" w:color="auto" w:fill="auto"/>
            <w:vAlign w:val="center"/>
          </w:tcPr>
          <w:p w:rsidR="00747C7E" w:rsidRPr="00604601" w:rsidRDefault="00604601" w:rsidP="0076389F">
            <w:pPr>
              <w:pStyle w:val="IF4TMtable"/>
              <w:rPr>
                <w:highlight w:val="yellow"/>
                <w:lang w:val="sr-Latn-RS"/>
              </w:rPr>
            </w:pPr>
            <w:r w:rsidRPr="00604601">
              <w:rPr>
                <w:lang w:val="sr-Latn-RS"/>
              </w:rPr>
              <w:t>21</w:t>
            </w:r>
          </w:p>
        </w:tc>
      </w:tr>
      <w:tr w:rsidR="00747C7E" w:rsidRPr="00B4451D" w:rsidTr="0076389F">
        <w:trPr>
          <w:trHeight w:val="310"/>
          <w:jc w:val="center"/>
        </w:trPr>
        <w:tc>
          <w:tcPr>
            <w:tcW w:w="2660" w:type="dxa"/>
            <w:shd w:val="clear" w:color="auto" w:fill="BFBFBF"/>
            <w:vAlign w:val="center"/>
          </w:tcPr>
          <w:p w:rsidR="00747C7E" w:rsidRPr="00190354" w:rsidRDefault="00747C7E" w:rsidP="0076389F">
            <w:pPr>
              <w:pStyle w:val="IF4TMtable"/>
            </w:pPr>
            <w:r w:rsidRPr="00190354">
              <w:t xml:space="preserve">Dissemination Level </w:t>
            </w:r>
          </w:p>
        </w:tc>
        <w:tc>
          <w:tcPr>
            <w:tcW w:w="6538" w:type="dxa"/>
            <w:shd w:val="clear" w:color="auto" w:fill="auto"/>
            <w:vAlign w:val="center"/>
          </w:tcPr>
          <w:p w:rsidR="00747C7E" w:rsidRPr="00747C7E" w:rsidRDefault="006A1131" w:rsidP="0076389F">
            <w:pPr>
              <w:pStyle w:val="IF4TMtable"/>
              <w:rPr>
                <w:highlight w:val="yellow"/>
              </w:rPr>
            </w:pPr>
            <w:r w:rsidRPr="006A1131">
              <w:t>Public</w:t>
            </w:r>
          </w:p>
        </w:tc>
      </w:tr>
    </w:tbl>
    <w:p w:rsidR="00747C7E" w:rsidRPr="00B4451D" w:rsidRDefault="00747C7E" w:rsidP="00747C7E">
      <w:pPr>
        <w:autoSpaceDE w:val="0"/>
        <w:autoSpaceDN w:val="0"/>
        <w:adjustRightInd w:val="0"/>
        <w:rPr>
          <w:rFonts w:eastAsia="Calibri" w:cs="Arial"/>
          <w:bCs/>
          <w:color w:val="333333"/>
          <w:lang w:val="en-GB" w:eastAsia="cs-CZ"/>
        </w:rPr>
      </w:pPr>
    </w:p>
    <w:p w:rsidR="00747C7E" w:rsidRPr="00B4451D" w:rsidRDefault="00747C7E" w:rsidP="00747C7E">
      <w:pPr>
        <w:rPr>
          <w:rFonts w:cs="Arial"/>
          <w:sz w:val="20"/>
          <w:szCs w:val="20"/>
          <w:lang w:val="en-GB" w:eastAsia="de-DE"/>
        </w:rPr>
      </w:pPr>
    </w:p>
    <w:p w:rsidR="00747C7E" w:rsidRPr="00B4451D" w:rsidRDefault="00747C7E" w:rsidP="00747C7E">
      <w:pPr>
        <w:pStyle w:val="IF4TMheader"/>
        <w:outlineLvl w:val="0"/>
      </w:pPr>
      <w:bookmarkStart w:id="8" w:name="_Toc349768024"/>
      <w:bookmarkStart w:id="9" w:name="_Toc437957166"/>
      <w:bookmarkStart w:id="10" w:name="_Toc475347713"/>
      <w:bookmarkStart w:id="11" w:name="_Toc5368357"/>
      <w:r w:rsidRPr="00B4451D">
        <w:t>VERSIONING AND CONTRIBUTION HISTORY</w:t>
      </w:r>
      <w:bookmarkEnd w:id="8"/>
      <w:bookmarkEnd w:id="9"/>
      <w:bookmarkEnd w:id="10"/>
      <w:bookmarkEnd w:id="11"/>
      <w:r w:rsidRPr="00B4451D">
        <w:t xml:space="preserve"> </w:t>
      </w:r>
    </w:p>
    <w:p w:rsidR="00747C7E" w:rsidRPr="00B4451D" w:rsidRDefault="00747C7E" w:rsidP="00747C7E">
      <w:pPr>
        <w:rPr>
          <w:rFonts w:cs="Arial"/>
          <w:sz w:val="20"/>
          <w:szCs w:val="20"/>
          <w:lang w:val="en-GB" w:eastAsia="de-DE"/>
        </w:rPr>
      </w:pPr>
    </w:p>
    <w:p w:rsidR="00747C7E" w:rsidRPr="00B4451D" w:rsidRDefault="00747C7E" w:rsidP="00747C7E">
      <w:pPr>
        <w:rPr>
          <w:rFonts w:cs="Arial"/>
          <w:sz w:val="20"/>
          <w:szCs w:val="20"/>
          <w:lang w:val="en-GB" w:eastAsia="de-DE"/>
        </w:rPr>
      </w:pPr>
    </w:p>
    <w:tbl>
      <w:tblPr>
        <w:tblW w:w="92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428"/>
        <w:gridCol w:w="1997"/>
        <w:gridCol w:w="2779"/>
        <w:gridCol w:w="3084"/>
      </w:tblGrid>
      <w:tr w:rsidR="00747C7E" w:rsidRPr="00B4451D" w:rsidTr="0076389F">
        <w:trPr>
          <w:trHeight w:val="310"/>
          <w:jc w:val="center"/>
        </w:trPr>
        <w:tc>
          <w:tcPr>
            <w:tcW w:w="1428" w:type="dxa"/>
            <w:shd w:val="clear" w:color="auto" w:fill="BFBFBF"/>
            <w:vAlign w:val="center"/>
          </w:tcPr>
          <w:p w:rsidR="00747C7E" w:rsidRPr="00190354" w:rsidRDefault="00747C7E" w:rsidP="0076389F">
            <w:pPr>
              <w:pStyle w:val="IF4TMtable"/>
            </w:pPr>
            <w:r w:rsidRPr="00190354">
              <w:t>Version</w:t>
            </w:r>
          </w:p>
        </w:tc>
        <w:tc>
          <w:tcPr>
            <w:tcW w:w="1997" w:type="dxa"/>
            <w:shd w:val="clear" w:color="auto" w:fill="BFBFBF"/>
            <w:vAlign w:val="center"/>
          </w:tcPr>
          <w:p w:rsidR="00747C7E" w:rsidRPr="00190354" w:rsidRDefault="00747C7E" w:rsidP="0076389F">
            <w:pPr>
              <w:pStyle w:val="IF4TMtable"/>
            </w:pPr>
            <w:r w:rsidRPr="00190354">
              <w:t>Date</w:t>
            </w:r>
          </w:p>
        </w:tc>
        <w:tc>
          <w:tcPr>
            <w:tcW w:w="2779" w:type="dxa"/>
            <w:shd w:val="clear" w:color="auto" w:fill="BFBFBF"/>
            <w:vAlign w:val="center"/>
          </w:tcPr>
          <w:p w:rsidR="00747C7E" w:rsidRPr="00190354" w:rsidRDefault="00747C7E" w:rsidP="0076389F">
            <w:pPr>
              <w:pStyle w:val="IF4TMtable"/>
            </w:pPr>
            <w:r w:rsidRPr="00190354">
              <w:t>Revision Description</w:t>
            </w:r>
          </w:p>
        </w:tc>
        <w:tc>
          <w:tcPr>
            <w:tcW w:w="3084" w:type="dxa"/>
            <w:shd w:val="clear" w:color="auto" w:fill="BFBFBF"/>
            <w:vAlign w:val="center"/>
          </w:tcPr>
          <w:p w:rsidR="00747C7E" w:rsidRPr="00190354" w:rsidRDefault="00747C7E" w:rsidP="0076389F">
            <w:pPr>
              <w:pStyle w:val="IF4TMtable"/>
            </w:pPr>
            <w:r w:rsidRPr="00190354">
              <w:t>Responsible Partner</w:t>
            </w:r>
          </w:p>
        </w:tc>
      </w:tr>
      <w:tr w:rsidR="00747C7E" w:rsidRPr="00B4451D" w:rsidTr="0076389F">
        <w:trPr>
          <w:trHeight w:val="310"/>
          <w:jc w:val="center"/>
        </w:trPr>
        <w:tc>
          <w:tcPr>
            <w:tcW w:w="1428" w:type="dxa"/>
            <w:shd w:val="clear" w:color="auto" w:fill="auto"/>
            <w:vAlign w:val="center"/>
          </w:tcPr>
          <w:p w:rsidR="00747C7E" w:rsidRPr="00604601" w:rsidRDefault="00604601" w:rsidP="0076389F">
            <w:pPr>
              <w:pStyle w:val="IF4TMtable"/>
            </w:pPr>
            <w:r>
              <w:t>1.0</w:t>
            </w:r>
          </w:p>
        </w:tc>
        <w:tc>
          <w:tcPr>
            <w:tcW w:w="1997" w:type="dxa"/>
            <w:shd w:val="clear" w:color="auto" w:fill="auto"/>
            <w:vAlign w:val="center"/>
          </w:tcPr>
          <w:p w:rsidR="00747C7E" w:rsidRPr="00604601" w:rsidRDefault="00604601" w:rsidP="0076389F">
            <w:pPr>
              <w:pStyle w:val="IF4TMtable"/>
            </w:pPr>
            <w:r>
              <w:t>29.06.2016.</w:t>
            </w:r>
          </w:p>
        </w:tc>
        <w:tc>
          <w:tcPr>
            <w:tcW w:w="2779" w:type="dxa"/>
            <w:shd w:val="clear" w:color="auto" w:fill="auto"/>
            <w:vAlign w:val="center"/>
          </w:tcPr>
          <w:p w:rsidR="00747C7E" w:rsidRPr="00604601" w:rsidRDefault="00604601" w:rsidP="0076389F">
            <w:pPr>
              <w:pStyle w:val="IF4TMtable"/>
            </w:pPr>
            <w:r>
              <w:t>First draft report</w:t>
            </w:r>
          </w:p>
        </w:tc>
        <w:tc>
          <w:tcPr>
            <w:tcW w:w="3084" w:type="dxa"/>
            <w:shd w:val="clear" w:color="auto" w:fill="auto"/>
            <w:vAlign w:val="center"/>
          </w:tcPr>
          <w:p w:rsidR="00747C7E" w:rsidRPr="00604601" w:rsidRDefault="00604601" w:rsidP="0076389F">
            <w:pPr>
              <w:pStyle w:val="IF4TMtable"/>
            </w:pPr>
            <w:r>
              <w:t>Bruce Scharlau</w:t>
            </w:r>
            <w:r w:rsidR="00CA0D8E">
              <w:t>, University of Aberdeen</w:t>
            </w:r>
          </w:p>
        </w:tc>
      </w:tr>
      <w:tr w:rsidR="00747C7E" w:rsidRPr="00B4451D" w:rsidTr="0076389F">
        <w:trPr>
          <w:trHeight w:val="310"/>
          <w:jc w:val="center"/>
        </w:trPr>
        <w:tc>
          <w:tcPr>
            <w:tcW w:w="1428" w:type="dxa"/>
            <w:shd w:val="clear" w:color="auto" w:fill="auto"/>
            <w:vAlign w:val="center"/>
          </w:tcPr>
          <w:p w:rsidR="00747C7E" w:rsidRPr="00190354" w:rsidRDefault="00747C7E" w:rsidP="0076389F">
            <w:pPr>
              <w:pStyle w:val="IF4TMtable"/>
            </w:pPr>
          </w:p>
        </w:tc>
        <w:tc>
          <w:tcPr>
            <w:tcW w:w="1997" w:type="dxa"/>
            <w:shd w:val="clear" w:color="auto" w:fill="auto"/>
            <w:vAlign w:val="center"/>
          </w:tcPr>
          <w:p w:rsidR="00747C7E" w:rsidRPr="00190354" w:rsidRDefault="00747C7E" w:rsidP="0076389F">
            <w:pPr>
              <w:pStyle w:val="IF4TMtable"/>
            </w:pPr>
          </w:p>
        </w:tc>
        <w:tc>
          <w:tcPr>
            <w:tcW w:w="2779" w:type="dxa"/>
            <w:shd w:val="clear" w:color="auto" w:fill="auto"/>
            <w:vAlign w:val="center"/>
          </w:tcPr>
          <w:p w:rsidR="00747C7E" w:rsidRPr="00190354" w:rsidRDefault="00747C7E" w:rsidP="0076389F">
            <w:pPr>
              <w:pStyle w:val="IF4TMtable"/>
            </w:pPr>
          </w:p>
        </w:tc>
        <w:tc>
          <w:tcPr>
            <w:tcW w:w="3084" w:type="dxa"/>
            <w:shd w:val="clear" w:color="auto" w:fill="auto"/>
            <w:vAlign w:val="center"/>
          </w:tcPr>
          <w:p w:rsidR="00747C7E" w:rsidRPr="00190354" w:rsidRDefault="00747C7E" w:rsidP="0076389F">
            <w:pPr>
              <w:pStyle w:val="IF4TMtable"/>
            </w:pPr>
          </w:p>
        </w:tc>
      </w:tr>
      <w:tr w:rsidR="00747C7E" w:rsidRPr="00B4451D" w:rsidTr="0076389F">
        <w:trPr>
          <w:trHeight w:val="313"/>
          <w:jc w:val="center"/>
        </w:trPr>
        <w:tc>
          <w:tcPr>
            <w:tcW w:w="1428" w:type="dxa"/>
            <w:shd w:val="clear" w:color="auto" w:fill="auto"/>
            <w:vAlign w:val="center"/>
          </w:tcPr>
          <w:p w:rsidR="00747C7E" w:rsidRPr="00190354" w:rsidRDefault="00747C7E" w:rsidP="0076389F">
            <w:pPr>
              <w:pStyle w:val="IF4TMtable"/>
            </w:pPr>
          </w:p>
        </w:tc>
        <w:tc>
          <w:tcPr>
            <w:tcW w:w="1997" w:type="dxa"/>
            <w:shd w:val="clear" w:color="auto" w:fill="auto"/>
            <w:vAlign w:val="center"/>
          </w:tcPr>
          <w:p w:rsidR="00747C7E" w:rsidRPr="00190354" w:rsidRDefault="00747C7E" w:rsidP="0076389F">
            <w:pPr>
              <w:pStyle w:val="IF4TMtable"/>
            </w:pPr>
          </w:p>
        </w:tc>
        <w:tc>
          <w:tcPr>
            <w:tcW w:w="2779" w:type="dxa"/>
            <w:shd w:val="clear" w:color="auto" w:fill="auto"/>
            <w:vAlign w:val="center"/>
          </w:tcPr>
          <w:p w:rsidR="00747C7E" w:rsidRPr="00190354" w:rsidRDefault="00747C7E" w:rsidP="0076389F">
            <w:pPr>
              <w:pStyle w:val="IF4TMtable"/>
            </w:pPr>
          </w:p>
        </w:tc>
        <w:tc>
          <w:tcPr>
            <w:tcW w:w="3084" w:type="dxa"/>
            <w:shd w:val="clear" w:color="auto" w:fill="auto"/>
            <w:vAlign w:val="center"/>
          </w:tcPr>
          <w:p w:rsidR="00747C7E" w:rsidRPr="00190354" w:rsidRDefault="00747C7E" w:rsidP="0076389F">
            <w:pPr>
              <w:pStyle w:val="IF4TMtable"/>
            </w:pPr>
          </w:p>
        </w:tc>
      </w:tr>
      <w:tr w:rsidR="00747C7E" w:rsidRPr="00B4451D" w:rsidTr="0076389F">
        <w:trPr>
          <w:trHeight w:val="313"/>
          <w:jc w:val="center"/>
        </w:trPr>
        <w:tc>
          <w:tcPr>
            <w:tcW w:w="1428" w:type="dxa"/>
            <w:shd w:val="clear" w:color="auto" w:fill="auto"/>
            <w:vAlign w:val="center"/>
          </w:tcPr>
          <w:p w:rsidR="00747C7E" w:rsidRPr="00190354" w:rsidRDefault="00747C7E" w:rsidP="0076389F">
            <w:pPr>
              <w:pStyle w:val="IF4TMtable"/>
            </w:pPr>
          </w:p>
        </w:tc>
        <w:tc>
          <w:tcPr>
            <w:tcW w:w="1997" w:type="dxa"/>
            <w:shd w:val="clear" w:color="auto" w:fill="auto"/>
            <w:vAlign w:val="center"/>
          </w:tcPr>
          <w:p w:rsidR="00747C7E" w:rsidRPr="00190354" w:rsidRDefault="00747C7E" w:rsidP="0076389F">
            <w:pPr>
              <w:pStyle w:val="IF4TMtable"/>
            </w:pPr>
          </w:p>
        </w:tc>
        <w:tc>
          <w:tcPr>
            <w:tcW w:w="2779" w:type="dxa"/>
            <w:shd w:val="clear" w:color="auto" w:fill="auto"/>
            <w:vAlign w:val="center"/>
          </w:tcPr>
          <w:p w:rsidR="00747C7E" w:rsidRPr="00190354" w:rsidRDefault="00747C7E" w:rsidP="0076389F">
            <w:pPr>
              <w:pStyle w:val="IF4TMtable"/>
            </w:pPr>
          </w:p>
        </w:tc>
        <w:tc>
          <w:tcPr>
            <w:tcW w:w="3084" w:type="dxa"/>
            <w:shd w:val="clear" w:color="auto" w:fill="auto"/>
            <w:vAlign w:val="center"/>
          </w:tcPr>
          <w:p w:rsidR="00747C7E" w:rsidRPr="00190354" w:rsidRDefault="00747C7E" w:rsidP="0076389F">
            <w:pPr>
              <w:pStyle w:val="IF4TMtable"/>
            </w:pPr>
          </w:p>
        </w:tc>
      </w:tr>
      <w:tr w:rsidR="00747C7E" w:rsidRPr="00B4451D" w:rsidTr="0076389F">
        <w:trPr>
          <w:trHeight w:val="313"/>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tcPr>
          <w:p w:rsidR="00747C7E" w:rsidRPr="00190354" w:rsidRDefault="00747C7E" w:rsidP="0076389F">
            <w:pPr>
              <w:pStyle w:val="IF4TMtable"/>
            </w:pPr>
          </w:p>
        </w:tc>
        <w:tc>
          <w:tcPr>
            <w:tcW w:w="1997" w:type="dxa"/>
            <w:tcBorders>
              <w:top w:val="single" w:sz="8" w:space="0" w:color="auto"/>
              <w:left w:val="single" w:sz="8" w:space="0" w:color="auto"/>
              <w:bottom w:val="single" w:sz="8" w:space="0" w:color="auto"/>
              <w:right w:val="single" w:sz="8" w:space="0" w:color="auto"/>
            </w:tcBorders>
            <w:shd w:val="clear" w:color="auto" w:fill="auto"/>
            <w:vAlign w:val="center"/>
          </w:tcPr>
          <w:p w:rsidR="00747C7E" w:rsidRPr="00190354" w:rsidRDefault="00747C7E" w:rsidP="0076389F">
            <w:pPr>
              <w:pStyle w:val="IF4TMtable"/>
            </w:pPr>
          </w:p>
        </w:tc>
        <w:tc>
          <w:tcPr>
            <w:tcW w:w="2779" w:type="dxa"/>
            <w:tcBorders>
              <w:top w:val="single" w:sz="8" w:space="0" w:color="auto"/>
              <w:left w:val="single" w:sz="8" w:space="0" w:color="auto"/>
              <w:bottom w:val="single" w:sz="8" w:space="0" w:color="auto"/>
              <w:right w:val="single" w:sz="8" w:space="0" w:color="auto"/>
            </w:tcBorders>
            <w:shd w:val="clear" w:color="auto" w:fill="auto"/>
            <w:vAlign w:val="center"/>
          </w:tcPr>
          <w:p w:rsidR="00747C7E" w:rsidRPr="00190354" w:rsidRDefault="00747C7E" w:rsidP="0076389F">
            <w:pPr>
              <w:pStyle w:val="IF4TMtable"/>
            </w:pPr>
          </w:p>
        </w:tc>
        <w:tc>
          <w:tcPr>
            <w:tcW w:w="3084" w:type="dxa"/>
            <w:tcBorders>
              <w:top w:val="single" w:sz="8" w:space="0" w:color="auto"/>
              <w:left w:val="single" w:sz="8" w:space="0" w:color="auto"/>
              <w:bottom w:val="single" w:sz="8" w:space="0" w:color="auto"/>
              <w:right w:val="single" w:sz="8" w:space="0" w:color="auto"/>
            </w:tcBorders>
            <w:shd w:val="clear" w:color="auto" w:fill="auto"/>
            <w:vAlign w:val="center"/>
          </w:tcPr>
          <w:p w:rsidR="00747C7E" w:rsidRPr="00190354" w:rsidRDefault="00747C7E" w:rsidP="0076389F">
            <w:pPr>
              <w:pStyle w:val="IF4TMtable"/>
            </w:pPr>
          </w:p>
        </w:tc>
      </w:tr>
      <w:tr w:rsidR="00747C7E" w:rsidRPr="00B4451D" w:rsidTr="0076389F">
        <w:trPr>
          <w:trHeight w:val="313"/>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tcPr>
          <w:p w:rsidR="00747C7E" w:rsidRPr="00190354" w:rsidRDefault="00747C7E" w:rsidP="0076389F">
            <w:pPr>
              <w:pStyle w:val="IF4TMtable"/>
            </w:pPr>
          </w:p>
        </w:tc>
        <w:tc>
          <w:tcPr>
            <w:tcW w:w="1997" w:type="dxa"/>
            <w:tcBorders>
              <w:top w:val="single" w:sz="8" w:space="0" w:color="auto"/>
              <w:left w:val="single" w:sz="8" w:space="0" w:color="auto"/>
              <w:bottom w:val="single" w:sz="8" w:space="0" w:color="auto"/>
              <w:right w:val="single" w:sz="8" w:space="0" w:color="auto"/>
            </w:tcBorders>
            <w:shd w:val="clear" w:color="auto" w:fill="auto"/>
            <w:vAlign w:val="center"/>
          </w:tcPr>
          <w:p w:rsidR="00747C7E" w:rsidRPr="00190354" w:rsidRDefault="00747C7E" w:rsidP="0076389F">
            <w:pPr>
              <w:pStyle w:val="IF4TMtable"/>
            </w:pPr>
          </w:p>
        </w:tc>
        <w:tc>
          <w:tcPr>
            <w:tcW w:w="2779" w:type="dxa"/>
            <w:tcBorders>
              <w:top w:val="single" w:sz="8" w:space="0" w:color="auto"/>
              <w:left w:val="single" w:sz="8" w:space="0" w:color="auto"/>
              <w:bottom w:val="single" w:sz="8" w:space="0" w:color="auto"/>
              <w:right w:val="single" w:sz="8" w:space="0" w:color="auto"/>
            </w:tcBorders>
            <w:shd w:val="clear" w:color="auto" w:fill="auto"/>
            <w:vAlign w:val="center"/>
          </w:tcPr>
          <w:p w:rsidR="00747C7E" w:rsidRPr="00190354" w:rsidRDefault="00747C7E" w:rsidP="0076389F">
            <w:pPr>
              <w:pStyle w:val="IF4TMtable"/>
            </w:pPr>
          </w:p>
        </w:tc>
        <w:tc>
          <w:tcPr>
            <w:tcW w:w="3084" w:type="dxa"/>
            <w:tcBorders>
              <w:top w:val="single" w:sz="8" w:space="0" w:color="auto"/>
              <w:left w:val="single" w:sz="8" w:space="0" w:color="auto"/>
              <w:bottom w:val="single" w:sz="8" w:space="0" w:color="auto"/>
              <w:right w:val="single" w:sz="8" w:space="0" w:color="auto"/>
            </w:tcBorders>
            <w:shd w:val="clear" w:color="auto" w:fill="auto"/>
            <w:vAlign w:val="center"/>
          </w:tcPr>
          <w:p w:rsidR="00747C7E" w:rsidRPr="00190354" w:rsidRDefault="00747C7E" w:rsidP="0076389F">
            <w:pPr>
              <w:pStyle w:val="IF4TMtable"/>
            </w:pPr>
          </w:p>
        </w:tc>
      </w:tr>
      <w:tr w:rsidR="00747C7E" w:rsidRPr="00B4451D" w:rsidTr="0076389F">
        <w:trPr>
          <w:trHeight w:val="313"/>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tcPr>
          <w:p w:rsidR="00747C7E" w:rsidRPr="00190354" w:rsidRDefault="00747C7E" w:rsidP="0076389F">
            <w:pPr>
              <w:pStyle w:val="IF4TMtable"/>
            </w:pPr>
          </w:p>
        </w:tc>
        <w:tc>
          <w:tcPr>
            <w:tcW w:w="1997" w:type="dxa"/>
            <w:tcBorders>
              <w:top w:val="single" w:sz="8" w:space="0" w:color="auto"/>
              <w:left w:val="single" w:sz="8" w:space="0" w:color="auto"/>
              <w:bottom w:val="single" w:sz="8" w:space="0" w:color="auto"/>
              <w:right w:val="single" w:sz="8" w:space="0" w:color="auto"/>
            </w:tcBorders>
            <w:shd w:val="clear" w:color="auto" w:fill="auto"/>
            <w:vAlign w:val="center"/>
          </w:tcPr>
          <w:p w:rsidR="00747C7E" w:rsidRPr="00190354" w:rsidRDefault="00747C7E" w:rsidP="0076389F">
            <w:pPr>
              <w:pStyle w:val="IF4TMtable"/>
            </w:pPr>
          </w:p>
        </w:tc>
        <w:tc>
          <w:tcPr>
            <w:tcW w:w="2779" w:type="dxa"/>
            <w:tcBorders>
              <w:top w:val="single" w:sz="8" w:space="0" w:color="auto"/>
              <w:left w:val="single" w:sz="8" w:space="0" w:color="auto"/>
              <w:bottom w:val="single" w:sz="8" w:space="0" w:color="auto"/>
              <w:right w:val="single" w:sz="8" w:space="0" w:color="auto"/>
            </w:tcBorders>
            <w:shd w:val="clear" w:color="auto" w:fill="auto"/>
            <w:vAlign w:val="center"/>
          </w:tcPr>
          <w:p w:rsidR="00747C7E" w:rsidRPr="00190354" w:rsidRDefault="00747C7E" w:rsidP="0076389F">
            <w:pPr>
              <w:pStyle w:val="IF4TMtable"/>
            </w:pPr>
          </w:p>
        </w:tc>
        <w:tc>
          <w:tcPr>
            <w:tcW w:w="3084" w:type="dxa"/>
            <w:tcBorders>
              <w:top w:val="single" w:sz="8" w:space="0" w:color="auto"/>
              <w:left w:val="single" w:sz="8" w:space="0" w:color="auto"/>
              <w:bottom w:val="single" w:sz="8" w:space="0" w:color="auto"/>
              <w:right w:val="single" w:sz="8" w:space="0" w:color="auto"/>
            </w:tcBorders>
            <w:shd w:val="clear" w:color="auto" w:fill="auto"/>
            <w:vAlign w:val="center"/>
          </w:tcPr>
          <w:p w:rsidR="00747C7E" w:rsidRPr="00190354" w:rsidRDefault="00747C7E" w:rsidP="0076389F">
            <w:pPr>
              <w:pStyle w:val="IF4TMtable"/>
            </w:pPr>
          </w:p>
        </w:tc>
      </w:tr>
    </w:tbl>
    <w:p w:rsidR="00D429EA" w:rsidRPr="000510FE" w:rsidRDefault="00D429EA" w:rsidP="00D429EA">
      <w:pPr>
        <w:spacing w:after="0" w:line="360" w:lineRule="auto"/>
        <w:jc w:val="both"/>
        <w:rPr>
          <w:rFonts w:eastAsia="Times New Roman" w:cs="Arial"/>
          <w:bCs/>
          <w:sz w:val="24"/>
          <w:szCs w:val="24"/>
          <w:lang w:eastAsia="de-DE"/>
        </w:rPr>
      </w:pPr>
    </w:p>
    <w:p w:rsidR="000209DD" w:rsidRDefault="000209DD" w:rsidP="00B26A9C">
      <w:pPr>
        <w:pStyle w:val="Heading1"/>
        <w:numPr>
          <w:ilvl w:val="0"/>
          <w:numId w:val="0"/>
        </w:numPr>
        <w:ind w:left="720" w:hanging="360"/>
      </w:pPr>
    </w:p>
    <w:p w:rsidR="00747C7E" w:rsidRDefault="00747C7E"/>
    <w:p w:rsidR="00747C7E" w:rsidRDefault="00747C7E" w:rsidP="00945C9D"/>
    <w:p w:rsidR="00994671" w:rsidRDefault="00994671" w:rsidP="00945C9D">
      <w:r>
        <w:t>TABLE OF CONTENT:</w:t>
      </w:r>
    </w:p>
    <w:p w:rsidR="00604601" w:rsidRDefault="00954C5B">
      <w:pPr>
        <w:pStyle w:val="TOC1"/>
        <w:tabs>
          <w:tab w:val="right" w:leader="dot" w:pos="9350"/>
        </w:tabs>
        <w:rPr>
          <w:rFonts w:asciiTheme="minorHAnsi" w:eastAsiaTheme="minorEastAsia" w:hAnsiTheme="minorHAnsi"/>
          <w:noProof/>
        </w:rPr>
      </w:pPr>
      <w:r>
        <w:fldChar w:fldCharType="begin"/>
      </w:r>
      <w:r>
        <w:instrText xml:space="preserve"> TOC \o "1-3" \h \z \u </w:instrText>
      </w:r>
      <w:r>
        <w:fldChar w:fldCharType="separate"/>
      </w:r>
      <w:hyperlink w:anchor="_Toc5368356" w:history="1">
        <w:r w:rsidR="00604601" w:rsidRPr="00866C5A">
          <w:rPr>
            <w:rStyle w:val="Hyperlink"/>
            <w:noProof/>
          </w:rPr>
          <w:t>DOCUMENT CONTROL SHEET</w:t>
        </w:r>
        <w:r w:rsidR="00604601">
          <w:rPr>
            <w:noProof/>
            <w:webHidden/>
          </w:rPr>
          <w:tab/>
        </w:r>
        <w:r w:rsidR="00604601">
          <w:rPr>
            <w:noProof/>
            <w:webHidden/>
          </w:rPr>
          <w:fldChar w:fldCharType="begin"/>
        </w:r>
        <w:r w:rsidR="00604601">
          <w:rPr>
            <w:noProof/>
            <w:webHidden/>
          </w:rPr>
          <w:instrText xml:space="preserve"> PAGEREF _Toc5368356 \h </w:instrText>
        </w:r>
        <w:r w:rsidR="00604601">
          <w:rPr>
            <w:noProof/>
            <w:webHidden/>
          </w:rPr>
        </w:r>
        <w:r w:rsidR="00604601">
          <w:rPr>
            <w:noProof/>
            <w:webHidden/>
          </w:rPr>
          <w:fldChar w:fldCharType="separate"/>
        </w:r>
        <w:r w:rsidR="00604601">
          <w:rPr>
            <w:noProof/>
            <w:webHidden/>
          </w:rPr>
          <w:t>2</w:t>
        </w:r>
        <w:r w:rsidR="00604601">
          <w:rPr>
            <w:noProof/>
            <w:webHidden/>
          </w:rPr>
          <w:fldChar w:fldCharType="end"/>
        </w:r>
      </w:hyperlink>
    </w:p>
    <w:p w:rsidR="00604601" w:rsidRDefault="007C6366">
      <w:pPr>
        <w:pStyle w:val="TOC1"/>
        <w:tabs>
          <w:tab w:val="right" w:leader="dot" w:pos="9350"/>
        </w:tabs>
        <w:rPr>
          <w:rFonts w:asciiTheme="minorHAnsi" w:eastAsiaTheme="minorEastAsia" w:hAnsiTheme="minorHAnsi"/>
          <w:noProof/>
        </w:rPr>
      </w:pPr>
      <w:hyperlink w:anchor="_Toc5368357" w:history="1">
        <w:r w:rsidR="00604601" w:rsidRPr="00866C5A">
          <w:rPr>
            <w:rStyle w:val="Hyperlink"/>
            <w:noProof/>
          </w:rPr>
          <w:t>VERSIONING AND CONTRIBUTION HISTORY</w:t>
        </w:r>
        <w:r w:rsidR="00604601">
          <w:rPr>
            <w:noProof/>
            <w:webHidden/>
          </w:rPr>
          <w:tab/>
        </w:r>
        <w:r w:rsidR="00604601">
          <w:rPr>
            <w:noProof/>
            <w:webHidden/>
          </w:rPr>
          <w:fldChar w:fldCharType="begin"/>
        </w:r>
        <w:r w:rsidR="00604601">
          <w:rPr>
            <w:noProof/>
            <w:webHidden/>
          </w:rPr>
          <w:instrText xml:space="preserve"> PAGEREF _Toc5368357 \h </w:instrText>
        </w:r>
        <w:r w:rsidR="00604601">
          <w:rPr>
            <w:noProof/>
            <w:webHidden/>
          </w:rPr>
        </w:r>
        <w:r w:rsidR="00604601">
          <w:rPr>
            <w:noProof/>
            <w:webHidden/>
          </w:rPr>
          <w:fldChar w:fldCharType="separate"/>
        </w:r>
        <w:r w:rsidR="00604601">
          <w:rPr>
            <w:noProof/>
            <w:webHidden/>
          </w:rPr>
          <w:t>2</w:t>
        </w:r>
        <w:r w:rsidR="00604601">
          <w:rPr>
            <w:noProof/>
            <w:webHidden/>
          </w:rPr>
          <w:fldChar w:fldCharType="end"/>
        </w:r>
      </w:hyperlink>
    </w:p>
    <w:p w:rsidR="00604601" w:rsidRDefault="007C6366">
      <w:pPr>
        <w:pStyle w:val="TOC1"/>
        <w:tabs>
          <w:tab w:val="left" w:pos="440"/>
          <w:tab w:val="right" w:leader="dot" w:pos="9350"/>
        </w:tabs>
        <w:rPr>
          <w:rFonts w:asciiTheme="minorHAnsi" w:eastAsiaTheme="minorEastAsia" w:hAnsiTheme="minorHAnsi"/>
          <w:noProof/>
        </w:rPr>
      </w:pPr>
      <w:hyperlink w:anchor="_Toc5368358" w:history="1">
        <w:r w:rsidR="00604601" w:rsidRPr="00866C5A">
          <w:rPr>
            <w:rStyle w:val="Hyperlink"/>
            <w:noProof/>
          </w:rPr>
          <w:t>1.</w:t>
        </w:r>
        <w:r w:rsidR="00604601">
          <w:rPr>
            <w:rFonts w:asciiTheme="minorHAnsi" w:eastAsiaTheme="minorEastAsia" w:hAnsiTheme="minorHAnsi"/>
            <w:noProof/>
          </w:rPr>
          <w:tab/>
        </w:r>
        <w:r w:rsidR="00604601" w:rsidRPr="00866C5A">
          <w:rPr>
            <w:rStyle w:val="Hyperlink"/>
            <w:noProof/>
          </w:rPr>
          <w:t>Heading 1</w:t>
        </w:r>
        <w:r w:rsidR="00604601">
          <w:rPr>
            <w:noProof/>
            <w:webHidden/>
          </w:rPr>
          <w:tab/>
        </w:r>
        <w:r w:rsidR="00604601">
          <w:rPr>
            <w:noProof/>
            <w:webHidden/>
          </w:rPr>
          <w:fldChar w:fldCharType="begin"/>
        </w:r>
        <w:r w:rsidR="00604601">
          <w:rPr>
            <w:noProof/>
            <w:webHidden/>
          </w:rPr>
          <w:instrText xml:space="preserve"> PAGEREF _Toc5368358 \h </w:instrText>
        </w:r>
        <w:r w:rsidR="00604601">
          <w:rPr>
            <w:noProof/>
            <w:webHidden/>
          </w:rPr>
        </w:r>
        <w:r w:rsidR="00604601">
          <w:rPr>
            <w:noProof/>
            <w:webHidden/>
          </w:rPr>
          <w:fldChar w:fldCharType="separate"/>
        </w:r>
        <w:r w:rsidR="00604601">
          <w:rPr>
            <w:noProof/>
            <w:webHidden/>
          </w:rPr>
          <w:t>4</w:t>
        </w:r>
        <w:r w:rsidR="00604601">
          <w:rPr>
            <w:noProof/>
            <w:webHidden/>
          </w:rPr>
          <w:fldChar w:fldCharType="end"/>
        </w:r>
      </w:hyperlink>
    </w:p>
    <w:p w:rsidR="00604601" w:rsidRDefault="007C6366">
      <w:pPr>
        <w:pStyle w:val="TOC2"/>
        <w:tabs>
          <w:tab w:val="left" w:pos="880"/>
          <w:tab w:val="right" w:leader="dot" w:pos="9350"/>
        </w:tabs>
        <w:rPr>
          <w:rFonts w:asciiTheme="minorHAnsi" w:eastAsiaTheme="minorEastAsia" w:hAnsiTheme="minorHAnsi"/>
          <w:noProof/>
        </w:rPr>
      </w:pPr>
      <w:hyperlink w:anchor="_Toc5368359" w:history="1">
        <w:r w:rsidR="00604601" w:rsidRPr="00866C5A">
          <w:rPr>
            <w:rStyle w:val="Hyperlink"/>
            <w:noProof/>
          </w:rPr>
          <w:t>1.1.</w:t>
        </w:r>
        <w:r w:rsidR="00604601">
          <w:rPr>
            <w:rFonts w:asciiTheme="minorHAnsi" w:eastAsiaTheme="minorEastAsia" w:hAnsiTheme="minorHAnsi"/>
            <w:noProof/>
          </w:rPr>
          <w:tab/>
        </w:r>
        <w:r w:rsidR="00604601" w:rsidRPr="00866C5A">
          <w:rPr>
            <w:rStyle w:val="Hyperlink"/>
            <w:noProof/>
          </w:rPr>
          <w:t>Heading 2</w:t>
        </w:r>
        <w:r w:rsidR="00604601">
          <w:rPr>
            <w:noProof/>
            <w:webHidden/>
          </w:rPr>
          <w:tab/>
        </w:r>
        <w:r w:rsidR="00604601">
          <w:rPr>
            <w:noProof/>
            <w:webHidden/>
          </w:rPr>
          <w:fldChar w:fldCharType="begin"/>
        </w:r>
        <w:r w:rsidR="00604601">
          <w:rPr>
            <w:noProof/>
            <w:webHidden/>
          </w:rPr>
          <w:instrText xml:space="preserve"> PAGEREF _Toc5368359 \h </w:instrText>
        </w:r>
        <w:r w:rsidR="00604601">
          <w:rPr>
            <w:noProof/>
            <w:webHidden/>
          </w:rPr>
        </w:r>
        <w:r w:rsidR="00604601">
          <w:rPr>
            <w:noProof/>
            <w:webHidden/>
          </w:rPr>
          <w:fldChar w:fldCharType="separate"/>
        </w:r>
        <w:r w:rsidR="00604601">
          <w:rPr>
            <w:noProof/>
            <w:webHidden/>
          </w:rPr>
          <w:t>4</w:t>
        </w:r>
        <w:r w:rsidR="00604601">
          <w:rPr>
            <w:noProof/>
            <w:webHidden/>
          </w:rPr>
          <w:fldChar w:fldCharType="end"/>
        </w:r>
      </w:hyperlink>
    </w:p>
    <w:p w:rsidR="00604601" w:rsidRDefault="007C6366">
      <w:pPr>
        <w:pStyle w:val="TOC3"/>
        <w:tabs>
          <w:tab w:val="right" w:leader="dot" w:pos="9350"/>
        </w:tabs>
        <w:rPr>
          <w:rFonts w:asciiTheme="minorHAnsi" w:eastAsiaTheme="minorEastAsia" w:hAnsiTheme="minorHAnsi"/>
          <w:noProof/>
        </w:rPr>
      </w:pPr>
      <w:hyperlink w:anchor="_Toc5368360" w:history="1">
        <w:r w:rsidR="00604601" w:rsidRPr="00866C5A">
          <w:rPr>
            <w:rStyle w:val="Hyperlink"/>
            <w:noProof/>
          </w:rPr>
          <w:t>Heading 3</w:t>
        </w:r>
        <w:r w:rsidR="00604601">
          <w:rPr>
            <w:noProof/>
            <w:webHidden/>
          </w:rPr>
          <w:tab/>
        </w:r>
        <w:r w:rsidR="00604601">
          <w:rPr>
            <w:noProof/>
            <w:webHidden/>
          </w:rPr>
          <w:fldChar w:fldCharType="begin"/>
        </w:r>
        <w:r w:rsidR="00604601">
          <w:rPr>
            <w:noProof/>
            <w:webHidden/>
          </w:rPr>
          <w:instrText xml:space="preserve"> PAGEREF _Toc5368360 \h </w:instrText>
        </w:r>
        <w:r w:rsidR="00604601">
          <w:rPr>
            <w:noProof/>
            <w:webHidden/>
          </w:rPr>
        </w:r>
        <w:r w:rsidR="00604601">
          <w:rPr>
            <w:noProof/>
            <w:webHidden/>
          </w:rPr>
          <w:fldChar w:fldCharType="separate"/>
        </w:r>
        <w:r w:rsidR="00604601">
          <w:rPr>
            <w:noProof/>
            <w:webHidden/>
          </w:rPr>
          <w:t>4</w:t>
        </w:r>
        <w:r w:rsidR="00604601">
          <w:rPr>
            <w:noProof/>
            <w:webHidden/>
          </w:rPr>
          <w:fldChar w:fldCharType="end"/>
        </w:r>
      </w:hyperlink>
    </w:p>
    <w:p w:rsidR="00604601" w:rsidRDefault="007C6366">
      <w:pPr>
        <w:pStyle w:val="TOC1"/>
        <w:tabs>
          <w:tab w:val="left" w:pos="440"/>
          <w:tab w:val="right" w:leader="dot" w:pos="9350"/>
        </w:tabs>
        <w:rPr>
          <w:rFonts w:asciiTheme="minorHAnsi" w:eastAsiaTheme="minorEastAsia" w:hAnsiTheme="minorHAnsi"/>
          <w:noProof/>
        </w:rPr>
      </w:pPr>
      <w:hyperlink w:anchor="_Toc5368361" w:history="1">
        <w:r w:rsidR="00604601" w:rsidRPr="00866C5A">
          <w:rPr>
            <w:rStyle w:val="Hyperlink"/>
            <w:noProof/>
            <w:lang w:val="en-GB"/>
          </w:rPr>
          <w:t>2.</w:t>
        </w:r>
        <w:r w:rsidR="00604601">
          <w:rPr>
            <w:rFonts w:asciiTheme="minorHAnsi" w:eastAsiaTheme="minorEastAsia" w:hAnsiTheme="minorHAnsi"/>
            <w:noProof/>
          </w:rPr>
          <w:tab/>
        </w:r>
        <w:r w:rsidR="00604601" w:rsidRPr="00866C5A">
          <w:rPr>
            <w:rStyle w:val="Hyperlink"/>
            <w:noProof/>
            <w:lang w:val="en-GB"/>
          </w:rPr>
          <w:t>Background of Higher Education Across Europe</w:t>
        </w:r>
        <w:r w:rsidR="00604601">
          <w:rPr>
            <w:noProof/>
            <w:webHidden/>
          </w:rPr>
          <w:tab/>
        </w:r>
        <w:r w:rsidR="00604601">
          <w:rPr>
            <w:noProof/>
            <w:webHidden/>
          </w:rPr>
          <w:fldChar w:fldCharType="begin"/>
        </w:r>
        <w:r w:rsidR="00604601">
          <w:rPr>
            <w:noProof/>
            <w:webHidden/>
          </w:rPr>
          <w:instrText xml:space="preserve"> PAGEREF _Toc5368361 \h </w:instrText>
        </w:r>
        <w:r w:rsidR="00604601">
          <w:rPr>
            <w:noProof/>
            <w:webHidden/>
          </w:rPr>
        </w:r>
        <w:r w:rsidR="00604601">
          <w:rPr>
            <w:noProof/>
            <w:webHidden/>
          </w:rPr>
          <w:fldChar w:fldCharType="separate"/>
        </w:r>
        <w:r w:rsidR="00604601">
          <w:rPr>
            <w:noProof/>
            <w:webHidden/>
          </w:rPr>
          <w:t>6</w:t>
        </w:r>
        <w:r w:rsidR="00604601">
          <w:rPr>
            <w:noProof/>
            <w:webHidden/>
          </w:rPr>
          <w:fldChar w:fldCharType="end"/>
        </w:r>
      </w:hyperlink>
    </w:p>
    <w:p w:rsidR="00604601" w:rsidRDefault="007C6366">
      <w:pPr>
        <w:pStyle w:val="TOC1"/>
        <w:tabs>
          <w:tab w:val="left" w:pos="440"/>
          <w:tab w:val="right" w:leader="dot" w:pos="9350"/>
        </w:tabs>
        <w:rPr>
          <w:rFonts w:asciiTheme="minorHAnsi" w:eastAsiaTheme="minorEastAsia" w:hAnsiTheme="minorHAnsi"/>
          <w:noProof/>
        </w:rPr>
      </w:pPr>
      <w:hyperlink w:anchor="_Toc5368362" w:history="1">
        <w:r w:rsidR="00604601" w:rsidRPr="00866C5A">
          <w:rPr>
            <w:rStyle w:val="Hyperlink"/>
            <w:noProof/>
            <w:lang w:val="en-GB"/>
          </w:rPr>
          <w:t>3.</w:t>
        </w:r>
        <w:r w:rsidR="00604601">
          <w:rPr>
            <w:rFonts w:asciiTheme="minorHAnsi" w:eastAsiaTheme="minorEastAsia" w:hAnsiTheme="minorHAnsi"/>
            <w:noProof/>
          </w:rPr>
          <w:tab/>
        </w:r>
        <w:r w:rsidR="00604601" w:rsidRPr="00866C5A">
          <w:rPr>
            <w:rStyle w:val="Hyperlink"/>
            <w:noProof/>
            <w:lang w:val="en-GB"/>
          </w:rPr>
          <w:t>Short cycle programmes in Europe</w:t>
        </w:r>
        <w:r w:rsidR="00604601">
          <w:rPr>
            <w:noProof/>
            <w:webHidden/>
          </w:rPr>
          <w:tab/>
        </w:r>
        <w:r w:rsidR="00604601">
          <w:rPr>
            <w:noProof/>
            <w:webHidden/>
          </w:rPr>
          <w:fldChar w:fldCharType="begin"/>
        </w:r>
        <w:r w:rsidR="00604601">
          <w:rPr>
            <w:noProof/>
            <w:webHidden/>
          </w:rPr>
          <w:instrText xml:space="preserve"> PAGEREF _Toc5368362 \h </w:instrText>
        </w:r>
        <w:r w:rsidR="00604601">
          <w:rPr>
            <w:noProof/>
            <w:webHidden/>
          </w:rPr>
        </w:r>
        <w:r w:rsidR="00604601">
          <w:rPr>
            <w:noProof/>
            <w:webHidden/>
          </w:rPr>
          <w:fldChar w:fldCharType="separate"/>
        </w:r>
        <w:r w:rsidR="00604601">
          <w:rPr>
            <w:noProof/>
            <w:webHidden/>
          </w:rPr>
          <w:t>8</w:t>
        </w:r>
        <w:r w:rsidR="00604601">
          <w:rPr>
            <w:noProof/>
            <w:webHidden/>
          </w:rPr>
          <w:fldChar w:fldCharType="end"/>
        </w:r>
      </w:hyperlink>
    </w:p>
    <w:p w:rsidR="00604601" w:rsidRDefault="007C6366">
      <w:pPr>
        <w:pStyle w:val="TOC1"/>
        <w:tabs>
          <w:tab w:val="left" w:pos="440"/>
          <w:tab w:val="right" w:leader="dot" w:pos="9350"/>
        </w:tabs>
        <w:rPr>
          <w:rFonts w:asciiTheme="minorHAnsi" w:eastAsiaTheme="minorEastAsia" w:hAnsiTheme="minorHAnsi"/>
          <w:noProof/>
        </w:rPr>
      </w:pPr>
      <w:hyperlink w:anchor="_Toc5368363" w:history="1">
        <w:r w:rsidR="00604601" w:rsidRPr="00866C5A">
          <w:rPr>
            <w:rStyle w:val="Hyperlink"/>
            <w:noProof/>
            <w:lang w:val="en-GB"/>
          </w:rPr>
          <w:t>4.</w:t>
        </w:r>
        <w:r w:rsidR="00604601">
          <w:rPr>
            <w:rFonts w:asciiTheme="minorHAnsi" w:eastAsiaTheme="minorEastAsia" w:hAnsiTheme="minorHAnsi"/>
            <w:noProof/>
          </w:rPr>
          <w:tab/>
        </w:r>
        <w:r w:rsidR="00604601" w:rsidRPr="00866C5A">
          <w:rPr>
            <w:rStyle w:val="Hyperlink"/>
            <w:noProof/>
            <w:lang w:val="en-GB"/>
          </w:rPr>
          <w:t>Part-time Study in Europe</w:t>
        </w:r>
        <w:r w:rsidR="00604601">
          <w:rPr>
            <w:noProof/>
            <w:webHidden/>
          </w:rPr>
          <w:tab/>
        </w:r>
        <w:r w:rsidR="00604601">
          <w:rPr>
            <w:noProof/>
            <w:webHidden/>
          </w:rPr>
          <w:fldChar w:fldCharType="begin"/>
        </w:r>
        <w:r w:rsidR="00604601">
          <w:rPr>
            <w:noProof/>
            <w:webHidden/>
          </w:rPr>
          <w:instrText xml:space="preserve"> PAGEREF _Toc5368363 \h </w:instrText>
        </w:r>
        <w:r w:rsidR="00604601">
          <w:rPr>
            <w:noProof/>
            <w:webHidden/>
          </w:rPr>
        </w:r>
        <w:r w:rsidR="00604601">
          <w:rPr>
            <w:noProof/>
            <w:webHidden/>
          </w:rPr>
          <w:fldChar w:fldCharType="separate"/>
        </w:r>
        <w:r w:rsidR="00604601">
          <w:rPr>
            <w:noProof/>
            <w:webHidden/>
          </w:rPr>
          <w:t>11</w:t>
        </w:r>
        <w:r w:rsidR="00604601">
          <w:rPr>
            <w:noProof/>
            <w:webHidden/>
          </w:rPr>
          <w:fldChar w:fldCharType="end"/>
        </w:r>
      </w:hyperlink>
    </w:p>
    <w:p w:rsidR="00604601" w:rsidRDefault="007C6366">
      <w:pPr>
        <w:pStyle w:val="TOC1"/>
        <w:tabs>
          <w:tab w:val="left" w:pos="440"/>
          <w:tab w:val="right" w:leader="dot" w:pos="9350"/>
        </w:tabs>
        <w:rPr>
          <w:rFonts w:asciiTheme="minorHAnsi" w:eastAsiaTheme="minorEastAsia" w:hAnsiTheme="minorHAnsi"/>
          <w:noProof/>
        </w:rPr>
      </w:pPr>
      <w:hyperlink w:anchor="_Toc5368364" w:history="1">
        <w:r w:rsidR="00604601" w:rsidRPr="00866C5A">
          <w:rPr>
            <w:rStyle w:val="Hyperlink"/>
            <w:noProof/>
            <w:lang w:val="en-GB"/>
          </w:rPr>
          <w:t>5.</w:t>
        </w:r>
        <w:r w:rsidR="00604601">
          <w:rPr>
            <w:rFonts w:asciiTheme="minorHAnsi" w:eastAsiaTheme="minorEastAsia" w:hAnsiTheme="minorHAnsi"/>
            <w:noProof/>
          </w:rPr>
          <w:tab/>
        </w:r>
        <w:r w:rsidR="00604601" w:rsidRPr="00866C5A">
          <w:rPr>
            <w:rStyle w:val="Hyperlink"/>
            <w:noProof/>
            <w:lang w:val="en-GB"/>
          </w:rPr>
          <w:t>PT&amp;SCHE Survey</w:t>
        </w:r>
        <w:r w:rsidR="00604601">
          <w:rPr>
            <w:noProof/>
            <w:webHidden/>
          </w:rPr>
          <w:tab/>
        </w:r>
        <w:r w:rsidR="00604601">
          <w:rPr>
            <w:noProof/>
            <w:webHidden/>
          </w:rPr>
          <w:fldChar w:fldCharType="begin"/>
        </w:r>
        <w:r w:rsidR="00604601">
          <w:rPr>
            <w:noProof/>
            <w:webHidden/>
          </w:rPr>
          <w:instrText xml:space="preserve"> PAGEREF _Toc5368364 \h </w:instrText>
        </w:r>
        <w:r w:rsidR="00604601">
          <w:rPr>
            <w:noProof/>
            <w:webHidden/>
          </w:rPr>
        </w:r>
        <w:r w:rsidR="00604601">
          <w:rPr>
            <w:noProof/>
            <w:webHidden/>
          </w:rPr>
          <w:fldChar w:fldCharType="separate"/>
        </w:r>
        <w:r w:rsidR="00604601">
          <w:rPr>
            <w:noProof/>
            <w:webHidden/>
          </w:rPr>
          <w:t>14</w:t>
        </w:r>
        <w:r w:rsidR="00604601">
          <w:rPr>
            <w:noProof/>
            <w:webHidden/>
          </w:rPr>
          <w:fldChar w:fldCharType="end"/>
        </w:r>
      </w:hyperlink>
    </w:p>
    <w:p w:rsidR="00994671" w:rsidRDefault="00954C5B" w:rsidP="00945C9D">
      <w:r>
        <w:fldChar w:fldCharType="end"/>
      </w:r>
    </w:p>
    <w:p w:rsidR="00994671" w:rsidRDefault="00994671" w:rsidP="00945C9D"/>
    <w:p w:rsidR="00994671" w:rsidRDefault="00994671" w:rsidP="00747C7E">
      <w:pPr>
        <w:pStyle w:val="Heading1"/>
        <w:numPr>
          <w:ilvl w:val="0"/>
          <w:numId w:val="0"/>
        </w:numPr>
      </w:pPr>
    </w:p>
    <w:p w:rsidR="00747C7E" w:rsidRDefault="00747C7E" w:rsidP="00747C7E">
      <w:r>
        <w:br w:type="page"/>
      </w:r>
    </w:p>
    <w:p w:rsidR="00604601" w:rsidRDefault="00604601" w:rsidP="00604601"/>
    <w:p w:rsidR="00604601" w:rsidRPr="00604601" w:rsidRDefault="00604601" w:rsidP="00502679">
      <w:pPr>
        <w:jc w:val="both"/>
      </w:pPr>
      <w:r w:rsidRPr="00604601">
        <w:rPr>
          <w:lang w:val="en-GB"/>
        </w:rPr>
        <w:t>This report draws upon two reports as well as a short survey done of partner members. The first useful report is “</w:t>
      </w:r>
      <w:r w:rsidRPr="00604601">
        <w:t xml:space="preserve">Short Cycle Higher Education in Europe Level 5: the Missing Link” written in 2011. This documents the status of short cycle education in EU member states at the time and how this relates to education in general as well as within the notion of lifelong learning. The second useful report is from the </w:t>
      </w:r>
      <w:r w:rsidRPr="00604601">
        <w:rPr>
          <w:lang w:val="en-GB"/>
        </w:rPr>
        <w:t>European Commission/EACEA/Eurydice entitled “The European Higher Education Area in 2015: Bologna Process Implementation Report” written in 2015</w:t>
      </w:r>
      <w:r w:rsidRPr="00604601">
        <w:rPr>
          <w:i/>
          <w:iCs/>
          <w:lang w:val="en-GB"/>
        </w:rPr>
        <w:t>.</w:t>
      </w:r>
      <w:r w:rsidRPr="00604601">
        <w:rPr>
          <w:lang w:val="en-GB"/>
        </w:rPr>
        <w:t xml:space="preserve"> It reviews the state of higher education at all three cycles across a wider area, which includes Serbia, and offers some views on short cycle and part time learning too.</w:t>
      </w:r>
    </w:p>
    <w:p w:rsidR="00604601" w:rsidRPr="00604601" w:rsidRDefault="00604601" w:rsidP="00502679">
      <w:pPr>
        <w:jc w:val="both"/>
        <w:rPr>
          <w:lang w:val="en-GB"/>
        </w:rPr>
      </w:pPr>
      <w:r w:rsidRPr="00604601">
        <w:rPr>
          <w:lang w:val="en-GB"/>
        </w:rPr>
        <w:t>The different levels of the educational qualification framework vary across Europe as can be seen in the table below taken from ‘Missing Link’ report mentioned above.</w:t>
      </w:r>
    </w:p>
    <w:p w:rsidR="00604601" w:rsidRPr="00604601" w:rsidRDefault="00604601" w:rsidP="00604601">
      <w:r w:rsidRPr="00604601">
        <w:rPr>
          <w:noProof/>
        </w:rPr>
        <w:drawing>
          <wp:inline distT="0" distB="0" distL="0" distR="0" wp14:anchorId="528B7C42" wp14:editId="4C2AD175">
            <wp:extent cx="6019800" cy="4206643"/>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2337" cy="4215404"/>
                    </a:xfrm>
                    <a:prstGeom prst="rect">
                      <a:avLst/>
                    </a:prstGeom>
                    <a:noFill/>
                    <a:ln>
                      <a:noFill/>
                    </a:ln>
                  </pic:spPr>
                </pic:pic>
              </a:graphicData>
            </a:graphic>
          </wp:inline>
        </w:drawing>
      </w:r>
      <w:r w:rsidRPr="00604601">
        <w:t xml:space="preserve"> </w:t>
      </w:r>
    </w:p>
    <w:p w:rsidR="00604601" w:rsidRPr="00604601" w:rsidRDefault="00604601" w:rsidP="00502679">
      <w:pPr>
        <w:jc w:val="both"/>
        <w:rPr>
          <w:lang w:val="en-GB"/>
        </w:rPr>
      </w:pPr>
      <w:r w:rsidRPr="00604601">
        <w:rPr>
          <w:lang w:val="en-GB"/>
        </w:rPr>
        <w:t xml:space="preserve">As can be seen above, level four leaves students at the end of secondary school, from which many can progress into level 6 when they start university. However, this jump isn’t possible for all students so a path through level 5 is also necessary in order to ensure that all people can find a </w:t>
      </w:r>
      <w:r w:rsidRPr="00604601">
        <w:rPr>
          <w:lang w:val="en-GB"/>
        </w:rPr>
        <w:lastRenderedPageBreak/>
        <w:t>path to a suitable career now, or in the future as part of their lifelong learning. This is the other important role of level 5; that it provides a starting place for those who come to their career later, or who need to restart their career due to family issues, restructuring in their career, or other reasons.</w:t>
      </w:r>
    </w:p>
    <w:p w:rsidR="00604601" w:rsidRPr="00604601" w:rsidRDefault="00604601" w:rsidP="00502679">
      <w:pPr>
        <w:jc w:val="both"/>
        <w:rPr>
          <w:lang w:val="en-GB"/>
        </w:rPr>
      </w:pPr>
      <w:r w:rsidRPr="00604601">
        <w:t>This report will use the classification above so that a level 5 qualification, using the European Qualifications Framework (EQF), could become an intermediate stepping stone on the path to higher qualifications, but which would enable the person to enter the labour market at a suitable level of employability. This would be a ‘short cycle’ within the first cycle of education, of about 120 ECTS within the national context. All references, unless otherwise stated, refer to the EQF level of study.</w:t>
      </w:r>
    </w:p>
    <w:p w:rsidR="00604601" w:rsidRPr="00604601" w:rsidRDefault="00604601" w:rsidP="00502679">
      <w:pPr>
        <w:jc w:val="both"/>
      </w:pPr>
      <w:r w:rsidRPr="00604601">
        <w:t xml:space="preserve">This ‘level 5’ is what is found to be needed between secondary school and higher education at university level. It offers a path for many people; those who want to change direction, those who want a more vocational career, and those who have problems with more formal education. It lets students take their education step by step in a steady manner as suits their needs. In addition, many of the level 5 studies are especially useful for non-traditional and mature students. </w:t>
      </w:r>
    </w:p>
    <w:p w:rsidR="00604601" w:rsidRPr="00604601" w:rsidRDefault="00604601" w:rsidP="00502679">
      <w:pPr>
        <w:jc w:val="both"/>
      </w:pPr>
      <w:r w:rsidRPr="00604601">
        <w:t>To that end there are two different paths for level 5 studies. One as seen in Scotland, this is on the path to university education. This is in contrast to another path seen in Serbia and elsewhere, where qualifications for level 5 are more vocational, and therefore lead away from further academic study, but instead lead to higher vocational bachelors and masters degree level qualifications. This also ties in with staff on the vocational tracks also being seen to split their time between academia and working in industry so that the education they offer is seen as relevant and contemporary.</w:t>
      </w:r>
    </w:p>
    <w:p w:rsidR="00604601" w:rsidRPr="00604601" w:rsidRDefault="00604601" w:rsidP="00502679">
      <w:pPr>
        <w:jc w:val="both"/>
      </w:pPr>
      <w:r w:rsidRPr="00604601">
        <w:t>In addition, ‘level 5’ studies are also on interest to industry who are being seen to help develop new programmes to suit the needs of their staff now and in the future. Helping to provide direction, industry can help to shape the curricula for these programmes in order to ensure that local employers have staff capable of fulfilling the roles needed.</w:t>
      </w:r>
    </w:p>
    <w:p w:rsidR="00604601" w:rsidRPr="00604601" w:rsidRDefault="00604601" w:rsidP="00502679">
      <w:pPr>
        <w:jc w:val="both"/>
        <w:rPr>
          <w:lang w:val="en-GB"/>
        </w:rPr>
      </w:pPr>
    </w:p>
    <w:p w:rsidR="00604601" w:rsidRPr="00604601" w:rsidRDefault="00604601" w:rsidP="00502679">
      <w:pPr>
        <w:pStyle w:val="Heading1"/>
        <w:jc w:val="both"/>
        <w:rPr>
          <w:lang w:val="en-GB"/>
        </w:rPr>
      </w:pPr>
      <w:bookmarkStart w:id="12" w:name="_Toc5368361"/>
      <w:r w:rsidRPr="00604601">
        <w:rPr>
          <w:lang w:val="en-GB"/>
        </w:rPr>
        <w:t>Background of Higher Education Across Europe</w:t>
      </w:r>
      <w:bookmarkEnd w:id="12"/>
    </w:p>
    <w:p w:rsidR="00604601" w:rsidRPr="00604601" w:rsidRDefault="00604601" w:rsidP="00502679">
      <w:pPr>
        <w:jc w:val="both"/>
        <w:rPr>
          <w:lang w:val="en-GB"/>
        </w:rPr>
      </w:pPr>
      <w:r w:rsidRPr="00604601">
        <w:rPr>
          <w:lang w:val="en-GB"/>
        </w:rPr>
        <w:t xml:space="preserve">There are about 37.2 million tertiary students in the EHEA (academic year 2011/12) with about 82% of these at level 6, and 15.6% in the more occupationally focused level 5, and about 2.7% in levels 7. In Serbia, this was total: 231,661, 178,789 in level 6, 47,322 in level 5 and 5500 in level 7. These represent 77.7% of students in level 6, 20.4% in level 5 and 2.4% in level 7 in Serbia. Across the EHEA counties level 8 students are less than 5% in most countries, but go up </w:t>
      </w:r>
      <w:r w:rsidRPr="00604601">
        <w:rPr>
          <w:lang w:val="en-GB"/>
        </w:rPr>
        <w:lastRenderedPageBreak/>
        <w:t>to 9% in a number of countries. (EC, 2015, 29-30) It should be noted that level 5 reported here is not short cycle, but merely something at that level of study.</w:t>
      </w:r>
    </w:p>
    <w:p w:rsidR="00604601" w:rsidRPr="00604601" w:rsidRDefault="00604601" w:rsidP="00502679">
      <w:pPr>
        <w:jc w:val="both"/>
        <w:rPr>
          <w:lang w:val="en-GB"/>
        </w:rPr>
      </w:pPr>
      <w:r w:rsidRPr="00604601">
        <w:rPr>
          <w:lang w:val="en-GB"/>
        </w:rPr>
        <w:t>Most EHEA countries use 180 or 240 ECTS for first cycle programmes with 58% and 37% using the former or the later respectfully. Five countries (Denmark, Finland, Germany, Hungary and Poland) add a 30 ECTS requirement for professional training or placements, which then makes for a 210 ECTS programme. (EC, 2015, 52-3)</w:t>
      </w:r>
    </w:p>
    <w:p w:rsidR="00604601" w:rsidRPr="00604601" w:rsidRDefault="00604601" w:rsidP="00502679">
      <w:pPr>
        <w:jc w:val="both"/>
        <w:rPr>
          <w:lang w:val="en-GB"/>
        </w:rPr>
      </w:pPr>
      <w:r w:rsidRPr="00604601">
        <w:rPr>
          <w:lang w:val="en-GB"/>
        </w:rPr>
        <w:t>65% of second cycle programmes mostly use the 120 ECTS model, 16% use 60-75 ECTS, and 13% use 90 ECTS. Unlike first cycle programmes, where the professional programme is longer, in second cycle, the professional programme is usually shorter. (EC, 2015, 53-4)</w:t>
      </w:r>
    </w:p>
    <w:p w:rsidR="00604601" w:rsidRPr="00604601" w:rsidRDefault="00604601" w:rsidP="00502679">
      <w:pPr>
        <w:jc w:val="both"/>
        <w:rPr>
          <w:lang w:val="en-GB"/>
        </w:rPr>
      </w:pPr>
      <w:r w:rsidRPr="00604601">
        <w:rPr>
          <w:lang w:val="en-GB"/>
        </w:rPr>
        <w:t>The use of a national qualification framework was agreed as part of the Bologna process, and the Framework for Qualifications of the EHEA was adopted, and then followed by the European Qualification Framework in 2008 as a translation tool between the two systems. By 2015 22 countries had completed all 10 implementation steps for this. The UK, Estonia, and others have completed this. Serbia is at step 9 with qualifications included in the NQF, and now awaits its self-certification in compatibility with the European Framework for Higher Education. (EC, 2015, 68)</w:t>
      </w:r>
    </w:p>
    <w:p w:rsidR="00604601" w:rsidRPr="00604601" w:rsidRDefault="00604601" w:rsidP="00502679">
      <w:pPr>
        <w:jc w:val="both"/>
        <w:rPr>
          <w:lang w:val="en-GB"/>
        </w:rPr>
      </w:pPr>
      <w:r w:rsidRPr="00604601">
        <w:rPr>
          <w:lang w:val="en-GB"/>
        </w:rPr>
        <w:t>The EHEA provides the basis for recognition of qualifications between its member states and is seen through the use of the ECTS, Diploma Supplement and national qualification frameworks used by its members. Some of this is also codified by national legislation. However, in practice this is mostly done by individual institutions, who base their decisions on commonly used materials from ENIC/NARIC. There is still more work to be done to ensure that recognition of national qualifications and higher education institutional degrees across borders is automatic. (EC, 2015, 79-83)</w:t>
      </w:r>
    </w:p>
    <w:p w:rsidR="00604601" w:rsidRPr="00604601" w:rsidRDefault="00604601" w:rsidP="00502679">
      <w:pPr>
        <w:jc w:val="both"/>
        <w:rPr>
          <w:lang w:val="en-GB"/>
        </w:rPr>
      </w:pPr>
      <w:r w:rsidRPr="00604601">
        <w:rPr>
          <w:lang w:val="en-GB"/>
        </w:rPr>
        <w:t>Fees for home students in the first cycle have been stable since 2012, with most students having to pay something in public higher education institutions. No fees are charged to home students in seven countries including Scotland, while in 16 countries students have to pay fees, though this might only be a small administrative charge, as in the case of the Czech Republic. How these fees are paid, and who pays them, is more complex and the strain this might put on the student and their family varies widely depending upon the amount of student support available for fees, maintenance and other costs. (EC, 2015, 125-146. It should be noted that nothing is mentioned in this report about funding for short cycle fees.)</w:t>
      </w:r>
    </w:p>
    <w:p w:rsidR="00604601" w:rsidRPr="00604601" w:rsidRDefault="00604601" w:rsidP="00502679">
      <w:pPr>
        <w:jc w:val="both"/>
        <w:rPr>
          <w:lang w:val="en-GB"/>
        </w:rPr>
      </w:pPr>
      <w:r w:rsidRPr="00604601">
        <w:rPr>
          <w:lang w:val="en-GB"/>
        </w:rPr>
        <w:t xml:space="preserve">Employability, “the ability to gain meaningful employment, to become self-employed, to maintain employment, and to be able to move around within the labour market” (quoted in EC, 2015, 182) is not about having a job, per se, but being equipped with the skills to have a job. In Serbia, this can lead to counter-intuitive outcomes. For example, those with high, medium and low education (High is ISCED 5-6, medium ISCED 3-4 and low is ISCED 0-2) levels in 2013 for 20-34 year olds </w:t>
      </w:r>
      <w:r w:rsidRPr="00604601">
        <w:rPr>
          <w:lang w:val="en-GB"/>
        </w:rPr>
        <w:lastRenderedPageBreak/>
        <w:t>were 27.9% for high, 21.1% for medium and 25.2% for low education levels. In other words, the higher your education level, the more likely you were to be unemployed. (EC, 2015, 183)</w:t>
      </w:r>
    </w:p>
    <w:p w:rsidR="00604601" w:rsidRPr="00604601" w:rsidRDefault="00604601" w:rsidP="00502679">
      <w:pPr>
        <w:jc w:val="both"/>
        <w:rPr>
          <w:lang w:val="en-GB"/>
        </w:rPr>
      </w:pPr>
      <w:r w:rsidRPr="00604601">
        <w:rPr>
          <w:lang w:val="en-GB"/>
        </w:rPr>
        <w:t>This might be understood to suggest that students might have more success using short cycle programmes to gain the required skills for employment, instead of pursuing a first-cycle programme.</w:t>
      </w:r>
    </w:p>
    <w:p w:rsidR="00604601" w:rsidRPr="00604601" w:rsidRDefault="00604601" w:rsidP="00502679">
      <w:pPr>
        <w:jc w:val="both"/>
        <w:rPr>
          <w:lang w:val="en-GB"/>
        </w:rPr>
      </w:pPr>
      <w:r w:rsidRPr="00604601">
        <w:rPr>
          <w:lang w:val="en-GB"/>
        </w:rPr>
        <w:t xml:space="preserve">Employer engagement is important for a number of reasons, which is why they are involved in curriculum development and participate in higher education institution decision making bodies across the EHEA. Sometimes this is required, and other times is an option. Sometimes this optionality goes further and employers help to create degrees to meet their needs. (EC, 2015, 199-200) </w:t>
      </w:r>
    </w:p>
    <w:p w:rsidR="00604601" w:rsidRPr="00604601" w:rsidRDefault="00604601" w:rsidP="00502679">
      <w:pPr>
        <w:jc w:val="both"/>
        <w:rPr>
          <w:lang w:val="en-GB"/>
        </w:rPr>
      </w:pPr>
      <w:r w:rsidRPr="00604601">
        <w:rPr>
          <w:lang w:val="en-GB"/>
        </w:rPr>
        <w:t xml:space="preserve">Sometimes employer engagement is compulsory, such as in Romania where all first cycle degrees, and in Portugal where all short cycle programmes have practical training. This can also be influenced by public funding to support training and internship programmes, even when it is not compulsory. Similarly, dual degree programmes, such as occur in Germany and France, with their mix of theoretical and professional experience also benefit from such funding models. (EC, 2015, 201-202) </w:t>
      </w:r>
    </w:p>
    <w:p w:rsidR="00604601" w:rsidRPr="00604601" w:rsidRDefault="00604601" w:rsidP="00502679">
      <w:pPr>
        <w:jc w:val="both"/>
        <w:rPr>
          <w:lang w:val="en-GB"/>
        </w:rPr>
      </w:pPr>
      <w:r w:rsidRPr="00604601">
        <w:rPr>
          <w:lang w:val="en-GB"/>
        </w:rPr>
        <w:t>This mixed approach by continues aims to avoid problems later on as not all students can progress from one cycle to the next due to the difference between professional and vocational degrees. This has led to some countries making use of bridging degrees to enable this transition, and to also enable other pathways to higher education, such as recognition of prior learning so that qualifications, or credit might be exempted. (EC, 2015, 123)</w:t>
      </w:r>
    </w:p>
    <w:p w:rsidR="00604601" w:rsidRPr="00604601" w:rsidRDefault="00604601" w:rsidP="00502679">
      <w:pPr>
        <w:jc w:val="both"/>
        <w:rPr>
          <w:lang w:val="en-GB"/>
        </w:rPr>
      </w:pPr>
    </w:p>
    <w:p w:rsidR="00604601" w:rsidRPr="00604601" w:rsidRDefault="00604601" w:rsidP="00502679">
      <w:pPr>
        <w:pStyle w:val="Heading1"/>
        <w:jc w:val="both"/>
        <w:rPr>
          <w:lang w:val="en-GB"/>
        </w:rPr>
      </w:pPr>
      <w:bookmarkStart w:id="13" w:name="_Toc5368362"/>
      <w:r w:rsidRPr="00604601">
        <w:rPr>
          <w:lang w:val="en-GB"/>
        </w:rPr>
        <w:t>Short cycle programmes in Europe</w:t>
      </w:r>
      <w:bookmarkEnd w:id="13"/>
    </w:p>
    <w:p w:rsidR="00604601" w:rsidRPr="00604601" w:rsidRDefault="00604601" w:rsidP="00502679">
      <w:pPr>
        <w:jc w:val="both"/>
        <w:rPr>
          <w:lang w:val="en-GB"/>
        </w:rPr>
      </w:pPr>
      <w:r w:rsidRPr="00604601">
        <w:rPr>
          <w:lang w:val="en-GB"/>
        </w:rPr>
        <w:t>Short cycle programmes account for fewer than 5% of all tertiary students. Short cycle programmes of less than three years cover less than half of the EHEA countries, and do not exist in half of the member countries either. There are now 26 countries that have short cycle programmes. While most are tied to higher education, this is not always the case and many are aligned with Vocational Education and Training (VET). (EC, 2015, 51)</w:t>
      </w:r>
    </w:p>
    <w:p w:rsidR="00604601" w:rsidRPr="00604601" w:rsidRDefault="00604601" w:rsidP="00502679">
      <w:pPr>
        <w:jc w:val="both"/>
        <w:rPr>
          <w:lang w:val="en-GB"/>
        </w:rPr>
      </w:pPr>
      <w:r w:rsidRPr="00604601">
        <w:rPr>
          <w:lang w:val="en-GB"/>
        </w:rPr>
        <w:t>The issue of how countries class short cycle programmes is still confusing as can be seen in the following illustrations.</w:t>
      </w:r>
    </w:p>
    <w:p w:rsidR="00604601" w:rsidRPr="00604601" w:rsidRDefault="00604601" w:rsidP="00604601">
      <w:r w:rsidRPr="00604601">
        <w:rPr>
          <w:noProof/>
        </w:rPr>
        <w:lastRenderedPageBreak/>
        <w:drawing>
          <wp:inline distT="0" distB="0" distL="0" distR="0" wp14:anchorId="21B25B69" wp14:editId="52697FD1">
            <wp:extent cx="5727700" cy="3571875"/>
            <wp:effectExtent l="0" t="0" r="1270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3571875"/>
                    </a:xfrm>
                    <a:prstGeom prst="rect">
                      <a:avLst/>
                    </a:prstGeom>
                  </pic:spPr>
                </pic:pic>
              </a:graphicData>
            </a:graphic>
          </wp:inline>
        </w:drawing>
      </w:r>
    </w:p>
    <w:p w:rsidR="00604601" w:rsidRPr="00604601" w:rsidRDefault="00604601" w:rsidP="00604601">
      <w:pPr>
        <w:rPr>
          <w:lang w:val="en-GB"/>
        </w:rPr>
      </w:pPr>
      <w:r w:rsidRPr="00604601">
        <w:rPr>
          <w:lang w:val="en-GB"/>
        </w:rPr>
        <w:t>Source: EC, 2015, 59</w:t>
      </w:r>
    </w:p>
    <w:p w:rsidR="00604601" w:rsidRPr="00604601" w:rsidRDefault="00604601" w:rsidP="00604601">
      <w:pPr>
        <w:rPr>
          <w:lang w:val="en-GB"/>
        </w:rPr>
      </w:pPr>
    </w:p>
    <w:p w:rsidR="00604601" w:rsidRPr="00604601" w:rsidRDefault="00604601" w:rsidP="00502679">
      <w:pPr>
        <w:jc w:val="both"/>
        <w:rPr>
          <w:lang w:val="en-GB"/>
        </w:rPr>
      </w:pPr>
      <w:r w:rsidRPr="00604601">
        <w:rPr>
          <w:lang w:val="en-GB"/>
        </w:rPr>
        <w:t>This shows that some have no short cycle programmes as short cycle is part of VET and therefore does not lead to a first cycle degree. Others, like the UK, have various options for their short cycle programmes with different exit paths available to students. (EC, 2015, 58)</w:t>
      </w:r>
    </w:p>
    <w:p w:rsidR="00604601" w:rsidRPr="00604601" w:rsidRDefault="00604601" w:rsidP="00502679">
      <w:pPr>
        <w:jc w:val="both"/>
        <w:rPr>
          <w:lang w:val="en-GB"/>
        </w:rPr>
      </w:pPr>
      <w:r w:rsidRPr="00604601">
        <w:rPr>
          <w:lang w:val="en-GB"/>
        </w:rPr>
        <w:t xml:space="preserve">The length of short cycle programmes that might feed into a first cycle programme varies from 60 ECTS (one year) to 180 ECTS (three years), however the most common version is 120 ECTS (two years). Some of these lead to professional and/or academic qualifications. This means that not all short cycle programmes can be used as a stepping stone to a first cycle degree. (EC, 2015, 58) The map below indicates how short cycle programmes might contribute to first cycle programmes. </w:t>
      </w:r>
    </w:p>
    <w:p w:rsidR="00604601" w:rsidRPr="00604601" w:rsidRDefault="00604601" w:rsidP="00604601">
      <w:pPr>
        <w:rPr>
          <w:lang w:val="en-GB"/>
        </w:rPr>
      </w:pPr>
    </w:p>
    <w:p w:rsidR="00604601" w:rsidRPr="00604601" w:rsidRDefault="00604601" w:rsidP="00604601">
      <w:pPr>
        <w:rPr>
          <w:lang w:val="en-GB"/>
        </w:rPr>
      </w:pPr>
    </w:p>
    <w:p w:rsidR="00604601" w:rsidRPr="00604601" w:rsidRDefault="00604601" w:rsidP="00604601">
      <w:pPr>
        <w:rPr>
          <w:lang w:val="en-GB"/>
        </w:rPr>
      </w:pPr>
      <w:r w:rsidRPr="00604601">
        <w:rPr>
          <w:noProof/>
        </w:rPr>
        <w:lastRenderedPageBreak/>
        <w:drawing>
          <wp:inline distT="0" distB="0" distL="0" distR="0" wp14:anchorId="3459695E" wp14:editId="652BF8F6">
            <wp:extent cx="5727700" cy="3526790"/>
            <wp:effectExtent l="0" t="0" r="1270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526790"/>
                    </a:xfrm>
                    <a:prstGeom prst="rect">
                      <a:avLst/>
                    </a:prstGeom>
                  </pic:spPr>
                </pic:pic>
              </a:graphicData>
            </a:graphic>
          </wp:inline>
        </w:drawing>
      </w:r>
    </w:p>
    <w:p w:rsidR="00604601" w:rsidRPr="00604601" w:rsidRDefault="00604601" w:rsidP="00604601">
      <w:pPr>
        <w:rPr>
          <w:lang w:val="en-GB"/>
        </w:rPr>
      </w:pPr>
      <w:r w:rsidRPr="00604601">
        <w:rPr>
          <w:lang w:val="en-GB"/>
        </w:rPr>
        <w:t>Source: EC, 2015, 60</w:t>
      </w:r>
    </w:p>
    <w:p w:rsidR="00604601" w:rsidRPr="00604601" w:rsidRDefault="00604601" w:rsidP="00502679">
      <w:pPr>
        <w:jc w:val="both"/>
        <w:rPr>
          <w:lang w:val="en-GB"/>
        </w:rPr>
      </w:pPr>
      <w:r w:rsidRPr="00604601">
        <w:rPr>
          <w:lang w:val="en-GB"/>
        </w:rPr>
        <w:t>Notice how now Scotland shows options available, and Serbia and Estonia are similar in approach, and how some countries like Ireland enable institutions to set up agreements to articulate from a short cycle programme to a first cycle degree.</w:t>
      </w:r>
    </w:p>
    <w:p w:rsidR="00604601" w:rsidRPr="00604601" w:rsidRDefault="00604601" w:rsidP="00502679">
      <w:pPr>
        <w:jc w:val="both"/>
        <w:rPr>
          <w:lang w:val="en-GB"/>
        </w:rPr>
      </w:pPr>
      <w:r w:rsidRPr="00604601">
        <w:rPr>
          <w:lang w:val="en-GB"/>
        </w:rPr>
        <w:t>In most countries the curriculum for short cycle programmes is a combination of practice and theory with some requiring a work placement due to the professional nature of the programme. Some countries such as the UK, might have different curricula for different institutions depending upon the degree. For example, a Foundation Degree is more likely to have work-based learning and placements than the HND programme. (Kirche, Beernaert, 44-45)</w:t>
      </w:r>
    </w:p>
    <w:p w:rsidR="00604601" w:rsidRPr="00604601" w:rsidRDefault="00604601" w:rsidP="00502679">
      <w:pPr>
        <w:jc w:val="both"/>
        <w:rPr>
          <w:lang w:val="en-GB"/>
        </w:rPr>
      </w:pPr>
      <w:r w:rsidRPr="00604601">
        <w:rPr>
          <w:lang w:val="en-GB"/>
        </w:rPr>
        <w:t>Where the short cycle programme is based around professional practice, then it is expected that the staff will have both academic and professional qualifications. In some countries there is even a minimum requirement for a set percentage of staff to have professional qualifications. Furthermore, many of these professionally trained staff combine their teaching role with professional practice too. (Kirsch, Beernaert, 62-3)</w:t>
      </w:r>
    </w:p>
    <w:p w:rsidR="00604601" w:rsidRPr="00604601" w:rsidRDefault="00604601" w:rsidP="00604601">
      <w:pPr>
        <w:rPr>
          <w:lang w:val="en-GB"/>
        </w:rPr>
      </w:pPr>
    </w:p>
    <w:p w:rsidR="00604601" w:rsidRPr="00604601" w:rsidRDefault="00604601" w:rsidP="00502679">
      <w:pPr>
        <w:pStyle w:val="Heading1"/>
        <w:jc w:val="both"/>
        <w:rPr>
          <w:lang w:val="en-GB"/>
        </w:rPr>
      </w:pPr>
      <w:bookmarkStart w:id="14" w:name="_Toc5368363"/>
      <w:r w:rsidRPr="00604601">
        <w:rPr>
          <w:lang w:val="en-GB"/>
        </w:rPr>
        <w:lastRenderedPageBreak/>
        <w:t>Part-time Study in Europe</w:t>
      </w:r>
      <w:bookmarkEnd w:id="14"/>
    </w:p>
    <w:p w:rsidR="00604601" w:rsidRPr="00604601" w:rsidRDefault="00604601" w:rsidP="00502679">
      <w:pPr>
        <w:jc w:val="both"/>
        <w:rPr>
          <w:lang w:val="en-GB"/>
        </w:rPr>
      </w:pPr>
      <w:r w:rsidRPr="00604601">
        <w:rPr>
          <w:lang w:val="en-GB"/>
        </w:rPr>
        <w:t xml:space="preserve">Flexible delivery is seen as part of the approach to lifelong learning taken by a country. Some have enshrined the equal status of the on-campus and the distant learning student, or those who wish to study while working.  In addition, it should be noted that there is no one meaning for ‘part-time’. In some places it relates only to the notion of time spent learning, while elsewhere it might relate to funding arrangements. (EC, 2015, 152-3) </w:t>
      </w:r>
    </w:p>
    <w:p w:rsidR="00604601" w:rsidRPr="00604601" w:rsidRDefault="00604601" w:rsidP="00502679">
      <w:pPr>
        <w:jc w:val="both"/>
        <w:rPr>
          <w:lang w:val="en-GB"/>
        </w:rPr>
      </w:pPr>
      <w:r w:rsidRPr="00604601">
        <w:rPr>
          <w:lang w:val="en-GB"/>
        </w:rPr>
        <w:t>A common approach is to define ‘part-time’ by the number of credits, the time allowed for completing study, or the theoretical number of hours devoted to studying. Sometimes these are combined for a definition. However, this also means that different combinations end up with the same result. In addition, some countries have no fees for full-time students, but expect part-time students to contribute to their studies, and they might also receive less financial support. (EC, 2015, 153-4. This report has no data on part-time students in Serbia.)</w:t>
      </w:r>
    </w:p>
    <w:p w:rsidR="00604601" w:rsidRPr="00604601" w:rsidRDefault="00604601" w:rsidP="00502679">
      <w:pPr>
        <w:jc w:val="both"/>
        <w:rPr>
          <w:lang w:val="en-GB"/>
        </w:rPr>
      </w:pPr>
      <w:r w:rsidRPr="00604601">
        <w:rPr>
          <w:lang w:val="en-GB"/>
        </w:rPr>
        <w:t>Some part-time study is similar to short cycle in that it offers a variety of options depending upon student circumstances, and sometimes also provides specific options tailored to industry as can be seen in the diagram below. This shows a wide variety of options available in different countries. In particular, it should be noted how part time offerings can be a stepping stone to gaining qualifications for level 5 or level 6 as part of a career change, or for other reasons.</w:t>
      </w:r>
    </w:p>
    <w:p w:rsidR="00604601" w:rsidRPr="00604601" w:rsidRDefault="00604601" w:rsidP="00604601"/>
    <w:p w:rsidR="00604601" w:rsidRPr="00604601" w:rsidRDefault="00604601" w:rsidP="00604601">
      <w:pPr>
        <w:rPr>
          <w:lang w:val="en-GB"/>
        </w:rPr>
      </w:pPr>
      <w:r w:rsidRPr="00604601">
        <w:rPr>
          <w:noProof/>
        </w:rPr>
        <w:lastRenderedPageBreak/>
        <w:drawing>
          <wp:inline distT="0" distB="0" distL="0" distR="0" wp14:anchorId="62FAEFF3" wp14:editId="4FD41D69">
            <wp:extent cx="5727700" cy="3340100"/>
            <wp:effectExtent l="0" t="0" r="1270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3340100"/>
                    </a:xfrm>
                    <a:prstGeom prst="rect">
                      <a:avLst/>
                    </a:prstGeom>
                  </pic:spPr>
                </pic:pic>
              </a:graphicData>
            </a:graphic>
          </wp:inline>
        </w:drawing>
      </w:r>
    </w:p>
    <w:p w:rsidR="00604601" w:rsidRPr="00604601" w:rsidRDefault="00604601" w:rsidP="00604601">
      <w:pPr>
        <w:rPr>
          <w:lang w:val="en-GB"/>
        </w:rPr>
      </w:pPr>
      <w:r w:rsidRPr="00604601">
        <w:rPr>
          <w:lang w:val="en-GB"/>
        </w:rPr>
        <w:t>Source EC, 2015, 149.</w:t>
      </w:r>
    </w:p>
    <w:p w:rsidR="00604601" w:rsidRPr="00604601" w:rsidRDefault="00604601" w:rsidP="00502679">
      <w:pPr>
        <w:jc w:val="both"/>
        <w:rPr>
          <w:lang w:val="en-GB"/>
        </w:rPr>
      </w:pPr>
      <w:r w:rsidRPr="00604601">
        <w:rPr>
          <w:lang w:val="en-GB"/>
        </w:rPr>
        <w:t>The funding for part time studies depends upon how the countries sees life-long learning. When this is seen part of the national approach to careers, then there is more public funding. Otherwise, as can be seen from the diagram below, funding is a mixture between public and private sources. Some of this private funding is from business, as in Serbia, while elsewhere it is from the students. However, it should be noted that the public funding is not always clear due to the nature of financing and that it only sometimes appears as a line-item in a budget. (EC, 2015, 151-2)</w:t>
      </w:r>
    </w:p>
    <w:p w:rsidR="00604601" w:rsidRPr="00604601" w:rsidRDefault="00604601" w:rsidP="00604601">
      <w:pPr>
        <w:rPr>
          <w:lang w:val="en-GB"/>
        </w:rPr>
      </w:pPr>
      <w:r w:rsidRPr="00604601">
        <w:rPr>
          <w:noProof/>
        </w:rPr>
        <w:lastRenderedPageBreak/>
        <w:drawing>
          <wp:inline distT="0" distB="0" distL="0" distR="0" wp14:anchorId="177920B6" wp14:editId="1CE8983F">
            <wp:extent cx="5727700" cy="348615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3486150"/>
                    </a:xfrm>
                    <a:prstGeom prst="rect">
                      <a:avLst/>
                    </a:prstGeom>
                  </pic:spPr>
                </pic:pic>
              </a:graphicData>
            </a:graphic>
          </wp:inline>
        </w:drawing>
      </w:r>
    </w:p>
    <w:p w:rsidR="00604601" w:rsidRPr="00604601" w:rsidRDefault="00604601" w:rsidP="00604601">
      <w:pPr>
        <w:rPr>
          <w:lang w:val="en-GB"/>
        </w:rPr>
      </w:pPr>
      <w:r w:rsidRPr="00604601">
        <w:rPr>
          <w:lang w:val="en-GB"/>
        </w:rPr>
        <w:t>Source: EC, 2015, 151</w:t>
      </w:r>
    </w:p>
    <w:p w:rsidR="00604601" w:rsidRPr="00604601" w:rsidRDefault="00604601" w:rsidP="00502679">
      <w:pPr>
        <w:jc w:val="both"/>
        <w:rPr>
          <w:lang w:val="en-GB"/>
        </w:rPr>
      </w:pPr>
      <w:r w:rsidRPr="00604601">
        <w:rPr>
          <w:lang w:val="en-GB"/>
        </w:rPr>
        <w:t>Part-time students tend to be older students. A number of them are there not long after their first cycle studies, while others might be there ten years later as part of a career change, or due to the need for higher qualifications. Whatever the case, as can be seen from the table below, these students might form a large percentage of students in these age bands. While Serbian data is missing, we can see that almost 70% of students aged 30-34 are part-time, and that only about 12% of the students 20-24 in age are part-time. This suggests, as noted, that different ages of students have different needs, which will need to be addressed accordingly.</w:t>
      </w:r>
    </w:p>
    <w:p w:rsidR="00604601" w:rsidRPr="00604601" w:rsidRDefault="00604601" w:rsidP="00604601">
      <w:pPr>
        <w:rPr>
          <w:lang w:val="en-GB"/>
        </w:rPr>
      </w:pPr>
      <w:r w:rsidRPr="00604601">
        <w:rPr>
          <w:noProof/>
        </w:rPr>
        <w:lastRenderedPageBreak/>
        <w:drawing>
          <wp:inline distT="0" distB="0" distL="0" distR="0" wp14:anchorId="22257038" wp14:editId="114EEB30">
            <wp:extent cx="5727700" cy="5495925"/>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5495925"/>
                    </a:xfrm>
                    <a:prstGeom prst="rect">
                      <a:avLst/>
                    </a:prstGeom>
                  </pic:spPr>
                </pic:pic>
              </a:graphicData>
            </a:graphic>
          </wp:inline>
        </w:drawing>
      </w:r>
    </w:p>
    <w:p w:rsidR="00604601" w:rsidRPr="00604601" w:rsidRDefault="00604601" w:rsidP="00604601">
      <w:pPr>
        <w:rPr>
          <w:lang w:val="en-GB"/>
        </w:rPr>
      </w:pPr>
      <w:r w:rsidRPr="00604601">
        <w:rPr>
          <w:lang w:val="en-GB"/>
        </w:rPr>
        <w:t>Source: EC, 2015, 158</w:t>
      </w:r>
    </w:p>
    <w:p w:rsidR="00604601" w:rsidRPr="00604601" w:rsidRDefault="00604601" w:rsidP="00604601">
      <w:pPr>
        <w:rPr>
          <w:lang w:val="en-GB"/>
        </w:rPr>
      </w:pPr>
    </w:p>
    <w:p w:rsidR="00604601" w:rsidRPr="00604601" w:rsidRDefault="00604601" w:rsidP="00604601">
      <w:pPr>
        <w:rPr>
          <w:lang w:val="en-GB"/>
        </w:rPr>
      </w:pPr>
    </w:p>
    <w:p w:rsidR="00604601" w:rsidRPr="00604601" w:rsidRDefault="00604601" w:rsidP="00604601">
      <w:pPr>
        <w:pStyle w:val="Heading1"/>
        <w:rPr>
          <w:lang w:val="en-GB"/>
        </w:rPr>
      </w:pPr>
      <w:bookmarkStart w:id="15" w:name="_Toc5368364"/>
      <w:r w:rsidRPr="00604601">
        <w:rPr>
          <w:lang w:val="en-GB"/>
        </w:rPr>
        <w:lastRenderedPageBreak/>
        <w:t>PT&amp;SCHE Survey</w:t>
      </w:r>
      <w:bookmarkEnd w:id="15"/>
      <w:r w:rsidRPr="00604601">
        <w:rPr>
          <w:lang w:val="en-GB"/>
        </w:rPr>
        <w:t xml:space="preserve"> </w:t>
      </w:r>
    </w:p>
    <w:p w:rsidR="00604601" w:rsidRPr="00604601" w:rsidRDefault="00604601" w:rsidP="00502679">
      <w:pPr>
        <w:jc w:val="both"/>
        <w:rPr>
          <w:lang w:val="en-GB"/>
        </w:rPr>
      </w:pPr>
      <w:r w:rsidRPr="00604601">
        <w:rPr>
          <w:lang w:val="en-GB"/>
        </w:rPr>
        <w:t xml:space="preserve">Earlier this year we ran a survey to find the current state of affairs in partner countries. We used the following questions to gather information about the national approaches to the issues as a starting point. </w:t>
      </w:r>
    </w:p>
    <w:p w:rsidR="00604601" w:rsidRPr="00604601" w:rsidRDefault="00604601" w:rsidP="00502679">
      <w:pPr>
        <w:jc w:val="both"/>
        <w:rPr>
          <w:lang w:val="en-GB"/>
        </w:rPr>
      </w:pPr>
      <w:r w:rsidRPr="00604601">
        <w:rPr>
          <w:lang w:val="en-GB"/>
        </w:rPr>
        <w:t>These were the questions, which we asked participants to answer:</w:t>
      </w:r>
    </w:p>
    <w:p w:rsidR="00604601" w:rsidRPr="00604601" w:rsidRDefault="00604601" w:rsidP="00502679">
      <w:pPr>
        <w:jc w:val="both"/>
        <w:rPr>
          <w:lang w:val="en-GB"/>
        </w:rPr>
      </w:pPr>
      <w:r w:rsidRPr="00604601">
        <w:rPr>
          <w:lang w:val="en-GB"/>
        </w:rPr>
        <w:t>Does a National Qualification Framework exist in your country?</w:t>
      </w:r>
      <w:r w:rsidRPr="00604601">
        <w:rPr>
          <w:lang w:val="en-GB"/>
        </w:rPr>
        <w:tab/>
      </w:r>
    </w:p>
    <w:p w:rsidR="00604601" w:rsidRPr="00604601" w:rsidRDefault="00604601" w:rsidP="00502679">
      <w:pPr>
        <w:jc w:val="both"/>
        <w:rPr>
          <w:lang w:val="en-GB"/>
        </w:rPr>
      </w:pPr>
      <w:r w:rsidRPr="00604601">
        <w:rPr>
          <w:lang w:val="en-GB"/>
        </w:rPr>
        <w:t>Which legal document established short cycle and (if available) part-time and full-time higher education? (Or the closest equivalent.)</w:t>
      </w:r>
      <w:r w:rsidRPr="00604601">
        <w:rPr>
          <w:lang w:val="en-GB"/>
        </w:rPr>
        <w:tab/>
      </w:r>
    </w:p>
    <w:p w:rsidR="00604601" w:rsidRPr="00604601" w:rsidRDefault="00604601" w:rsidP="00502679">
      <w:pPr>
        <w:jc w:val="both"/>
        <w:rPr>
          <w:lang w:val="en-GB"/>
        </w:rPr>
      </w:pPr>
      <w:r w:rsidRPr="00604601">
        <w:rPr>
          <w:lang w:val="en-GB"/>
        </w:rPr>
        <w:t>Which legal document says who grants qualifications, or establishes institutions to award degrees?</w:t>
      </w:r>
      <w:r w:rsidRPr="00604601">
        <w:rPr>
          <w:lang w:val="en-GB"/>
        </w:rPr>
        <w:tab/>
      </w:r>
    </w:p>
    <w:p w:rsidR="00604601" w:rsidRPr="00604601" w:rsidRDefault="00604601" w:rsidP="00502679">
      <w:pPr>
        <w:jc w:val="both"/>
        <w:rPr>
          <w:lang w:val="en-GB"/>
        </w:rPr>
      </w:pPr>
      <w:r w:rsidRPr="00604601">
        <w:rPr>
          <w:lang w:val="en-GB"/>
        </w:rPr>
        <w:t>Does level 5 lead to level 6, or are other paths possible?</w:t>
      </w:r>
      <w:r w:rsidRPr="00604601">
        <w:rPr>
          <w:lang w:val="en-GB"/>
        </w:rPr>
        <w:tab/>
      </w:r>
    </w:p>
    <w:p w:rsidR="00604601" w:rsidRDefault="00604601" w:rsidP="00502679">
      <w:pPr>
        <w:jc w:val="both"/>
        <w:rPr>
          <w:lang w:val="en-GB"/>
        </w:rPr>
      </w:pPr>
      <w:r w:rsidRPr="00604601">
        <w:rPr>
          <w:lang w:val="en-GB"/>
        </w:rPr>
        <w:t>Are part-time degrees available?</w:t>
      </w:r>
    </w:p>
    <w:p w:rsidR="00604601" w:rsidRPr="00604601" w:rsidRDefault="00604601" w:rsidP="00502679">
      <w:pPr>
        <w:jc w:val="both"/>
        <w:rPr>
          <w:lang w:val="en-GB"/>
        </w:rPr>
      </w:pPr>
    </w:p>
    <w:p w:rsidR="00604601" w:rsidRPr="00604601" w:rsidRDefault="00604601" w:rsidP="00502679">
      <w:pPr>
        <w:jc w:val="both"/>
        <w:rPr>
          <w:lang w:val="en-GB"/>
        </w:rPr>
      </w:pPr>
      <w:r w:rsidRPr="00604601">
        <w:rPr>
          <w:lang w:val="en-GB"/>
        </w:rPr>
        <w:t>Estonia</w:t>
      </w:r>
    </w:p>
    <w:p w:rsidR="00604601" w:rsidRPr="00604601" w:rsidRDefault="00604601" w:rsidP="00502679">
      <w:pPr>
        <w:jc w:val="both"/>
        <w:rPr>
          <w:lang w:val="en-GB"/>
        </w:rPr>
      </w:pPr>
      <w:r w:rsidRPr="00604601">
        <w:rPr>
          <w:lang w:val="en-GB"/>
        </w:rPr>
        <w:t>Does a National Qualification Framework exist in your country?</w:t>
      </w:r>
    </w:p>
    <w:p w:rsidR="00604601" w:rsidRPr="00604601" w:rsidRDefault="00604601" w:rsidP="00502679">
      <w:pPr>
        <w:jc w:val="both"/>
        <w:rPr>
          <w:lang w:val="en-GB"/>
        </w:rPr>
      </w:pPr>
      <w:r w:rsidRPr="00604601">
        <w:rPr>
          <w:lang w:val="en-GB"/>
        </w:rPr>
        <w:t xml:space="preserve">Estonian Qualification Authority is the coordinating institution (http://www.kutsekoda.ee/en/index).  </w:t>
      </w:r>
    </w:p>
    <w:p w:rsidR="00604601" w:rsidRPr="00604601" w:rsidRDefault="00604601" w:rsidP="00502679">
      <w:pPr>
        <w:jc w:val="both"/>
        <w:rPr>
          <w:lang w:val="en-GB"/>
        </w:rPr>
      </w:pPr>
      <w:r w:rsidRPr="00604601">
        <w:rPr>
          <w:lang w:val="en-GB"/>
        </w:rPr>
        <w:t>Which legal document established short cycle and (if available) part-time and full-time higher education? (Or the closest equivalent.)</w:t>
      </w:r>
    </w:p>
    <w:p w:rsidR="00604601" w:rsidRPr="00604601" w:rsidRDefault="00604601" w:rsidP="00502679">
      <w:pPr>
        <w:jc w:val="both"/>
        <w:rPr>
          <w:lang w:val="en-GB"/>
        </w:rPr>
      </w:pPr>
      <w:r w:rsidRPr="00604601">
        <w:rPr>
          <w:lang w:val="en-GB"/>
        </w:rPr>
        <w:t>The legal acts: http://www.kutsekoda.ee/en/kutsesysteem/oigusaktidkutseseadus. See also https://www.hm.ee/en/activities/qualifications.</w:t>
      </w:r>
      <w:r w:rsidRPr="00604601">
        <w:rPr>
          <w:lang w:val="en-GB"/>
        </w:rPr>
        <w:tab/>
        <w:t>The acts can be found at https://www.hm.ee/en/activities/legislative-drafting</w:t>
      </w:r>
      <w:r w:rsidRPr="00604601">
        <w:rPr>
          <w:lang w:val="en-GB"/>
        </w:rPr>
        <w:tab/>
        <w:t xml:space="preserve">Occupational Qualifications Act: </w:t>
      </w:r>
      <w:hyperlink r:id="rId15" w:history="1">
        <w:r w:rsidRPr="00604601">
          <w:rPr>
            <w:rStyle w:val="Hyperlink"/>
            <w:lang w:val="en-GB"/>
          </w:rPr>
          <w:t>http://www.kutsekoda.ee/fwk/contenthelper/10445708/10445709</w:t>
        </w:r>
      </w:hyperlink>
      <w:r w:rsidRPr="00604601">
        <w:rPr>
          <w:lang w:val="en-GB"/>
        </w:rPr>
        <w:tab/>
      </w:r>
    </w:p>
    <w:p w:rsidR="00604601" w:rsidRPr="00604601" w:rsidRDefault="00604601" w:rsidP="00502679">
      <w:pPr>
        <w:jc w:val="both"/>
        <w:rPr>
          <w:lang w:val="en-GB"/>
        </w:rPr>
      </w:pPr>
    </w:p>
    <w:p w:rsidR="00604601" w:rsidRPr="00604601" w:rsidRDefault="00604601" w:rsidP="00502679">
      <w:pPr>
        <w:jc w:val="both"/>
        <w:rPr>
          <w:lang w:val="en-GB"/>
        </w:rPr>
      </w:pPr>
      <w:r w:rsidRPr="00604601">
        <w:rPr>
          <w:lang w:val="en-GB"/>
        </w:rPr>
        <w:t>Does level 5 lead to level 6, or are other paths possible?</w:t>
      </w:r>
    </w:p>
    <w:p w:rsidR="00604601" w:rsidRPr="00604601" w:rsidRDefault="00604601" w:rsidP="00502679">
      <w:pPr>
        <w:jc w:val="both"/>
        <w:rPr>
          <w:lang w:val="en-GB"/>
        </w:rPr>
      </w:pPr>
      <w:r w:rsidRPr="00604601">
        <w:rPr>
          <w:lang w:val="en-GB"/>
        </w:rPr>
        <w:t xml:space="preserve">Not directly. Level 5 = professional education + continuing education + practice. Level 6 = higher education (academic or applied) + practice. For examples, see </w:t>
      </w:r>
      <w:hyperlink r:id="rId16" w:history="1">
        <w:r w:rsidRPr="00604601">
          <w:rPr>
            <w:rStyle w:val="Hyperlink"/>
            <w:lang w:val="en-GB"/>
          </w:rPr>
          <w:t>http://www.kutsekoda.ee/en/kutsesysteem/tutvustus/kutsestandardid_eng</w:t>
        </w:r>
      </w:hyperlink>
      <w:r w:rsidRPr="00604601">
        <w:rPr>
          <w:lang w:val="en-GB"/>
        </w:rPr>
        <w:t>.</w:t>
      </w:r>
      <w:r w:rsidRPr="00604601">
        <w:rPr>
          <w:lang w:val="en-GB"/>
        </w:rPr>
        <w:tab/>
        <w:t xml:space="preserve">This means </w:t>
      </w:r>
      <w:r w:rsidRPr="00604601">
        <w:rPr>
          <w:lang w:val="en-GB"/>
        </w:rPr>
        <w:lastRenderedPageBreak/>
        <w:t>that there is a bridge for those who want to transition differently from level 4 to level 6, and as the roles are prescribed it is easy to see what the learning outcomes should be for each role, and to devise suitable training to accomplish this outcome.</w:t>
      </w:r>
    </w:p>
    <w:p w:rsidR="00604601" w:rsidRPr="00604601" w:rsidRDefault="00604601" w:rsidP="00502679">
      <w:pPr>
        <w:jc w:val="both"/>
        <w:rPr>
          <w:lang w:val="en-GB"/>
        </w:rPr>
      </w:pPr>
      <w:r w:rsidRPr="00604601">
        <w:rPr>
          <w:lang w:val="en-GB"/>
        </w:rPr>
        <w:t>Are part-time degrees available? Part-time studies are possible.</w:t>
      </w:r>
    </w:p>
    <w:p w:rsidR="00604601" w:rsidRDefault="00604601" w:rsidP="00502679">
      <w:pPr>
        <w:jc w:val="both"/>
        <w:rPr>
          <w:lang w:val="en-GB"/>
        </w:rPr>
      </w:pPr>
      <w:r w:rsidRPr="00604601">
        <w:rPr>
          <w:lang w:val="en-GB"/>
        </w:rPr>
        <w:t>See also (Kirsch, Beernaert, 129-133)</w:t>
      </w:r>
    </w:p>
    <w:p w:rsidR="00604601" w:rsidRDefault="00604601" w:rsidP="00502679">
      <w:pPr>
        <w:jc w:val="both"/>
        <w:rPr>
          <w:lang w:val="en-GB"/>
        </w:rPr>
      </w:pPr>
    </w:p>
    <w:p w:rsidR="00604601" w:rsidRPr="00604601" w:rsidRDefault="00604601" w:rsidP="00502679">
      <w:pPr>
        <w:jc w:val="both"/>
        <w:rPr>
          <w:lang w:val="en-GB"/>
        </w:rPr>
      </w:pPr>
      <w:r w:rsidRPr="00604601">
        <w:rPr>
          <w:lang w:val="en-GB"/>
        </w:rPr>
        <w:t>Slovenia (Zan)</w:t>
      </w:r>
    </w:p>
    <w:p w:rsidR="00604601" w:rsidRPr="00604601" w:rsidRDefault="00604601" w:rsidP="00502679">
      <w:pPr>
        <w:jc w:val="both"/>
        <w:rPr>
          <w:lang w:val="en-GB"/>
        </w:rPr>
      </w:pPr>
      <w:r w:rsidRPr="00604601">
        <w:rPr>
          <w:lang w:val="en-GB"/>
        </w:rPr>
        <w:t>Does a National Qualification Framework exist in your country? Yes</w:t>
      </w:r>
      <w:r w:rsidRPr="00604601">
        <w:rPr>
          <w:lang w:val="en-GB"/>
        </w:rPr>
        <w:tab/>
      </w:r>
    </w:p>
    <w:p w:rsidR="00604601" w:rsidRPr="00604601" w:rsidRDefault="00604601" w:rsidP="00502679">
      <w:pPr>
        <w:jc w:val="both"/>
        <w:rPr>
          <w:lang w:val="en-GB"/>
        </w:rPr>
      </w:pPr>
      <w:r w:rsidRPr="00604601">
        <w:rPr>
          <w:lang w:val="en-GB"/>
        </w:rPr>
        <w:t>Which legal document established short cycle and (if available) part-time and full-time higher education? (Or the closest equivalent.) Which legal document says who grants qualifications, or establishes institutions to award degrees?</w:t>
      </w:r>
    </w:p>
    <w:p w:rsidR="00604601" w:rsidRPr="00604601" w:rsidRDefault="00604601" w:rsidP="00502679">
      <w:pPr>
        <w:jc w:val="both"/>
        <w:rPr>
          <w:lang w:val="en-GB"/>
        </w:rPr>
      </w:pPr>
      <w:r w:rsidRPr="00604601">
        <w:rPr>
          <w:lang w:val="en-GB"/>
        </w:rPr>
        <w:t xml:space="preserve">SHCE Act and HE Act in 2004 which uses a 6.1 and a 6.2 level instead of a level 5, and updated in 2015 with a new act, which consolidated a number of previous acts. </w:t>
      </w:r>
    </w:p>
    <w:p w:rsidR="00604601" w:rsidRPr="00604601" w:rsidRDefault="00604601" w:rsidP="00502679">
      <w:pPr>
        <w:jc w:val="both"/>
        <w:rPr>
          <w:lang w:val="en-GB"/>
        </w:rPr>
      </w:pPr>
      <w:r w:rsidRPr="00604601">
        <w:rPr>
          <w:lang w:val="en-GB"/>
        </w:rPr>
        <w:t>Ministry of Education, Science and Sport</w:t>
      </w:r>
      <w:r w:rsidRPr="00604601">
        <w:rPr>
          <w:lang w:val="en-GB"/>
        </w:rPr>
        <w:tab/>
      </w:r>
    </w:p>
    <w:p w:rsidR="00604601" w:rsidRPr="00604601" w:rsidRDefault="00604601" w:rsidP="00502679">
      <w:pPr>
        <w:jc w:val="both"/>
        <w:rPr>
          <w:lang w:val="en-GB"/>
        </w:rPr>
      </w:pPr>
      <w:r w:rsidRPr="00604601">
        <w:rPr>
          <w:lang w:val="en-GB"/>
        </w:rPr>
        <w:t>Does level 5 lead to level 6, or are other paths possible? Yes</w:t>
      </w:r>
      <w:r w:rsidRPr="00604601">
        <w:rPr>
          <w:lang w:val="en-GB"/>
        </w:rPr>
        <w:tab/>
      </w:r>
    </w:p>
    <w:p w:rsidR="00604601" w:rsidRPr="00604601" w:rsidRDefault="00604601" w:rsidP="00502679">
      <w:pPr>
        <w:jc w:val="both"/>
        <w:rPr>
          <w:lang w:val="en-GB"/>
        </w:rPr>
      </w:pPr>
      <w:r w:rsidRPr="00604601">
        <w:rPr>
          <w:lang w:val="en-GB"/>
        </w:rPr>
        <w:t>Are part-time degrees available? Yes</w:t>
      </w:r>
      <w:r w:rsidRPr="00604601">
        <w:rPr>
          <w:lang w:val="en-GB"/>
        </w:rPr>
        <w:tab/>
      </w:r>
    </w:p>
    <w:p w:rsidR="00604601" w:rsidRPr="00604601" w:rsidRDefault="00604601" w:rsidP="00502679">
      <w:pPr>
        <w:jc w:val="both"/>
        <w:rPr>
          <w:lang w:val="en-GB"/>
        </w:rPr>
      </w:pPr>
      <w:r w:rsidRPr="00604601">
        <w:rPr>
          <w:lang w:val="en-GB"/>
        </w:rPr>
        <w:t>See also (Kirsch, Beernaert, 204-209)</w:t>
      </w:r>
    </w:p>
    <w:p w:rsidR="00604601" w:rsidRPr="00604601" w:rsidRDefault="00604601" w:rsidP="00502679">
      <w:pPr>
        <w:jc w:val="both"/>
        <w:rPr>
          <w:lang w:val="en-GB"/>
        </w:rPr>
      </w:pPr>
    </w:p>
    <w:p w:rsidR="00604601" w:rsidRPr="00604601" w:rsidRDefault="00604601" w:rsidP="00502679">
      <w:pPr>
        <w:jc w:val="both"/>
        <w:rPr>
          <w:lang w:val="en-GB"/>
        </w:rPr>
      </w:pPr>
      <w:r w:rsidRPr="00604601">
        <w:rPr>
          <w:lang w:val="en-GB"/>
        </w:rPr>
        <w:t>Scotland (Bruce)</w:t>
      </w:r>
    </w:p>
    <w:p w:rsidR="00604601" w:rsidRPr="00604601" w:rsidRDefault="00604601" w:rsidP="00502679">
      <w:pPr>
        <w:jc w:val="both"/>
        <w:rPr>
          <w:lang w:val="en-GB"/>
        </w:rPr>
      </w:pPr>
      <w:r w:rsidRPr="00604601">
        <w:rPr>
          <w:lang w:val="en-GB"/>
        </w:rPr>
        <w:t>Does a National Qualification Framework exist in your country?</w:t>
      </w:r>
    </w:p>
    <w:p w:rsidR="00604601" w:rsidRPr="00604601" w:rsidRDefault="00604601" w:rsidP="00502679">
      <w:pPr>
        <w:jc w:val="both"/>
        <w:rPr>
          <w:lang w:val="en-GB"/>
        </w:rPr>
      </w:pPr>
      <w:r w:rsidRPr="00604601">
        <w:rPr>
          <w:lang w:val="en-GB"/>
        </w:rPr>
        <w:t>There is a separate qualification framework in Scotland.</w:t>
      </w:r>
    </w:p>
    <w:p w:rsidR="00604601" w:rsidRPr="00604601" w:rsidRDefault="00604601" w:rsidP="00502679">
      <w:pPr>
        <w:jc w:val="both"/>
        <w:rPr>
          <w:lang w:val="en-GB"/>
        </w:rPr>
      </w:pPr>
      <w:r w:rsidRPr="00604601">
        <w:rPr>
          <w:lang w:val="en-GB"/>
        </w:rPr>
        <w:t>Which legal document established short cycle and (if available) part-time and full-time higher education? (Or the closest equivalent.)</w:t>
      </w:r>
    </w:p>
    <w:p w:rsidR="00604601" w:rsidRPr="00604601" w:rsidRDefault="00604601" w:rsidP="00502679">
      <w:pPr>
        <w:jc w:val="both"/>
        <w:rPr>
          <w:lang w:val="en-GB"/>
        </w:rPr>
      </w:pPr>
      <w:r w:rsidRPr="00604601">
        <w:rPr>
          <w:lang w:val="en-GB"/>
        </w:rPr>
        <w:t>Royal charters establish higher education provision in the UK and Scotland.</w:t>
      </w:r>
    </w:p>
    <w:p w:rsidR="00604601" w:rsidRPr="00604601" w:rsidRDefault="00604601" w:rsidP="00502679">
      <w:pPr>
        <w:jc w:val="both"/>
        <w:rPr>
          <w:lang w:val="en-GB"/>
        </w:rPr>
      </w:pPr>
      <w:r w:rsidRPr="00604601">
        <w:rPr>
          <w:lang w:val="en-GB"/>
        </w:rPr>
        <w:t>Does level 5 lead to level 6, or are other paths possible?</w:t>
      </w:r>
    </w:p>
    <w:p w:rsidR="00604601" w:rsidRPr="00604601" w:rsidRDefault="00604601" w:rsidP="00502679">
      <w:pPr>
        <w:jc w:val="both"/>
        <w:rPr>
          <w:lang w:val="en-GB"/>
        </w:rPr>
      </w:pPr>
      <w:r w:rsidRPr="00604601">
        <w:rPr>
          <w:lang w:val="en-GB"/>
        </w:rPr>
        <w:t xml:space="preserve">There are multiple paths available to higher education in Scotland between secondary schools followed by university study as the common route. Going from secondary to college and then </w:t>
      </w:r>
      <w:r w:rsidRPr="00604601">
        <w:rPr>
          <w:lang w:val="en-GB"/>
        </w:rPr>
        <w:lastRenderedPageBreak/>
        <w:t xml:space="preserve">university is also a regular practice too. Agreements are usually drawn up between colleges and universities in order to establish how the students can transition into the second or third year of a degree programme. </w:t>
      </w:r>
    </w:p>
    <w:p w:rsidR="00604601" w:rsidRPr="00604601" w:rsidRDefault="00604601" w:rsidP="00502679">
      <w:pPr>
        <w:jc w:val="both"/>
        <w:rPr>
          <w:lang w:val="en-GB"/>
        </w:rPr>
      </w:pPr>
      <w:r w:rsidRPr="00604601">
        <w:rPr>
          <w:lang w:val="en-GB"/>
        </w:rPr>
        <w:t>Are part-time degrees available? Part-time degrees are possible.</w:t>
      </w:r>
    </w:p>
    <w:p w:rsidR="00604601" w:rsidRDefault="00604601" w:rsidP="00502679">
      <w:pPr>
        <w:jc w:val="both"/>
        <w:rPr>
          <w:lang w:val="en-GB"/>
        </w:rPr>
      </w:pPr>
      <w:r w:rsidRPr="00604601">
        <w:rPr>
          <w:lang w:val="en-GB"/>
        </w:rPr>
        <w:t>See also (Kirsch, Beernaert, 236-241)</w:t>
      </w:r>
    </w:p>
    <w:p w:rsidR="00604601" w:rsidRPr="00604601" w:rsidRDefault="00604601" w:rsidP="00502679">
      <w:pPr>
        <w:jc w:val="both"/>
        <w:rPr>
          <w:lang w:val="en-GB"/>
        </w:rPr>
      </w:pPr>
    </w:p>
    <w:p w:rsidR="00604601" w:rsidRPr="00604601" w:rsidRDefault="00604601" w:rsidP="00502679">
      <w:pPr>
        <w:jc w:val="both"/>
        <w:rPr>
          <w:lang w:val="en-GB"/>
        </w:rPr>
      </w:pPr>
      <w:r w:rsidRPr="00604601">
        <w:rPr>
          <w:lang w:val="en-GB"/>
        </w:rPr>
        <w:t>Serbia – Currently (We’re unsure which two people answered this)</w:t>
      </w:r>
    </w:p>
    <w:p w:rsidR="00604601" w:rsidRPr="00604601" w:rsidRDefault="00604601" w:rsidP="00502679">
      <w:pPr>
        <w:jc w:val="both"/>
        <w:rPr>
          <w:lang w:val="en-GB"/>
        </w:rPr>
      </w:pPr>
      <w:r w:rsidRPr="00604601">
        <w:rPr>
          <w:lang w:val="en-GB"/>
        </w:rPr>
        <w:t>Does a National Qualification Framework exist in your country?</w:t>
      </w:r>
    </w:p>
    <w:p w:rsidR="00604601" w:rsidRPr="00604601" w:rsidRDefault="00604601" w:rsidP="00502679">
      <w:pPr>
        <w:jc w:val="both"/>
        <w:rPr>
          <w:lang w:val="en-GB"/>
        </w:rPr>
      </w:pPr>
      <w:r w:rsidRPr="00604601">
        <w:rPr>
          <w:lang w:val="en-GB"/>
        </w:rPr>
        <w:t xml:space="preserve">The Republic of Serbia joined the Bologna Process in 2003, and in 2005 prepared a new law on higher education. Starting from 2005 Serbia initiated the process of preparing the NKF. Since 2010, there are two parts of the document; the part that refers to the pre-university education and the second part relating to higher education. A few years ago there was a merger of these two works, including the status of short cycle. In 2016, the Ministry of Education prepared a proposal for a single NKF and the National Council for Higher Education adopted this document. There has been no official confirmation about it because they prepare the appropriate legal documents. </w:t>
      </w:r>
    </w:p>
    <w:p w:rsidR="00604601" w:rsidRPr="00604601" w:rsidRDefault="00604601" w:rsidP="00502679">
      <w:pPr>
        <w:jc w:val="both"/>
        <w:rPr>
          <w:lang w:val="en-GB"/>
        </w:rPr>
      </w:pPr>
      <w:r w:rsidRPr="00604601">
        <w:rPr>
          <w:lang w:val="en-GB"/>
        </w:rPr>
        <w:t>In R. Serbia there are eight levels of qualifications. Output from short cycle will not be the level of qualification. Higher Education has three levels, 6, 7 and 8.</w:t>
      </w:r>
      <w:r w:rsidRPr="00604601">
        <w:rPr>
          <w:lang w:val="en-GB"/>
        </w:rPr>
        <w:tab/>
      </w:r>
    </w:p>
    <w:p w:rsidR="00604601" w:rsidRPr="00604601" w:rsidRDefault="00604601" w:rsidP="00502679">
      <w:pPr>
        <w:jc w:val="both"/>
        <w:rPr>
          <w:lang w:val="en-GB"/>
        </w:rPr>
      </w:pPr>
      <w:r w:rsidRPr="00604601">
        <w:rPr>
          <w:lang w:val="en-GB"/>
        </w:rPr>
        <w:t>Which legal document established short cycle and (if available) part-time and full-time higher education? (Or the closest equivalent.)</w:t>
      </w:r>
    </w:p>
    <w:p w:rsidR="00604601" w:rsidRPr="00604601" w:rsidRDefault="00604601" w:rsidP="00502679">
      <w:pPr>
        <w:jc w:val="both"/>
        <w:rPr>
          <w:lang w:val="en-GB"/>
        </w:rPr>
      </w:pPr>
      <w:r w:rsidRPr="00604601">
        <w:rPr>
          <w:lang w:val="en-GB"/>
        </w:rPr>
        <w:t xml:space="preserve">The most important document on higher education and all associated subordinate document is </w:t>
      </w:r>
      <w:r w:rsidRPr="00604601">
        <w:t>the Law on Higher Education ("Off. Gazette of RS", Nos. 76/2005, 100/2007 - authentic interpretation, 97/2008, 44/2010, 93/2012, 89/2013, 99/2014, 45/2015 - authentic interpretation of the 68 / 2015) established full-time higher education. Our higher education system does not establish short cycle and part-time studies. This provides the legal document, which says what is possible.</w:t>
      </w:r>
    </w:p>
    <w:p w:rsidR="00604601" w:rsidRPr="00604601" w:rsidRDefault="00604601" w:rsidP="00502679">
      <w:pPr>
        <w:jc w:val="both"/>
        <w:rPr>
          <w:lang w:val="en-GB"/>
        </w:rPr>
      </w:pPr>
      <w:r w:rsidRPr="00604601">
        <w:rPr>
          <w:lang w:val="en-GB"/>
        </w:rPr>
        <w:t>Part-time study and short-cycle studies are mentioned in the Education Strategy 2020 and accompanying action plans.</w:t>
      </w:r>
    </w:p>
    <w:p w:rsidR="00604601" w:rsidRPr="00604601" w:rsidRDefault="00604601" w:rsidP="00502679">
      <w:pPr>
        <w:jc w:val="both"/>
        <w:rPr>
          <w:lang w:val="en-GB"/>
        </w:rPr>
      </w:pPr>
      <w:r w:rsidRPr="00604601">
        <w:rPr>
          <w:lang w:val="en-GB"/>
        </w:rPr>
        <w:t>Does level 5 lead to level 6, or are other paths possible?</w:t>
      </w:r>
    </w:p>
    <w:p w:rsidR="00604601" w:rsidRPr="00604601" w:rsidRDefault="00604601" w:rsidP="00502679">
      <w:pPr>
        <w:jc w:val="both"/>
        <w:rPr>
          <w:lang w:val="en-GB"/>
        </w:rPr>
      </w:pPr>
      <w:r w:rsidRPr="00604601">
        <w:rPr>
          <w:lang w:val="en-GB"/>
        </w:rPr>
        <w:t>At the moment, according to our Law on higher education access to the first level of higher education are those who have completed four years of high school. Currently in Serbia informal forms of education are not valued.</w:t>
      </w:r>
    </w:p>
    <w:p w:rsidR="00604601" w:rsidRPr="00604601" w:rsidRDefault="00604601" w:rsidP="00502679">
      <w:pPr>
        <w:jc w:val="both"/>
        <w:rPr>
          <w:lang w:val="en-GB"/>
        </w:rPr>
      </w:pPr>
      <w:r w:rsidRPr="00604601">
        <w:rPr>
          <w:lang w:val="en-GB"/>
        </w:rPr>
        <w:lastRenderedPageBreak/>
        <w:t xml:space="preserve">In Serbia, up to 2002 in HE system there were regulated part-time studies, but they were not successful in their implementation, so this form of education was repealed by Law in 2002. We no longer have a level of studies between secondary education (which is a level below higher education) and higher education. Pupils that graduate from high schools directly enrol to basic or professional academic studies (universities and schools of applied studies which are all part of higher education system). </w:t>
      </w:r>
    </w:p>
    <w:p w:rsidR="00604601" w:rsidRPr="00604601" w:rsidRDefault="00604601" w:rsidP="00502679">
      <w:pPr>
        <w:jc w:val="both"/>
        <w:rPr>
          <w:lang w:val="en-GB"/>
        </w:rPr>
      </w:pPr>
      <w:r w:rsidRPr="00604601">
        <w:rPr>
          <w:lang w:val="en-GB"/>
        </w:rPr>
        <w:t>Higher education activities in Serbia are realized through academic and vocational studies. Academic study programmes enable students to develop and apply scientific, professional and artistic achievements. Vocational study pogrammes should enable students to apply the knowledge and skills necessary for inclusion into the working process.</w:t>
      </w:r>
    </w:p>
    <w:p w:rsidR="00604601" w:rsidRPr="00604601" w:rsidRDefault="00604601" w:rsidP="00502679">
      <w:pPr>
        <w:jc w:val="both"/>
        <w:rPr>
          <w:lang w:val="en-GB"/>
        </w:rPr>
      </w:pPr>
      <w:r w:rsidRPr="00604601">
        <w:rPr>
          <w:lang w:val="en-GB"/>
        </w:rPr>
        <w:t>1. sixth level studies are:</w:t>
      </w:r>
    </w:p>
    <w:p w:rsidR="00604601" w:rsidRPr="00604601" w:rsidRDefault="00604601" w:rsidP="00502679">
      <w:pPr>
        <w:jc w:val="both"/>
        <w:rPr>
          <w:lang w:val="en-GB"/>
        </w:rPr>
      </w:pPr>
      <w:r w:rsidRPr="00604601">
        <w:rPr>
          <w:lang w:val="en-GB"/>
        </w:rPr>
        <w:t>- basic academic studies (180 ECTS - bachelor; 240 - bachelor with honours);</w:t>
      </w:r>
    </w:p>
    <w:p w:rsidR="00604601" w:rsidRPr="00604601" w:rsidRDefault="00604601" w:rsidP="00502679">
      <w:pPr>
        <w:jc w:val="both"/>
        <w:rPr>
          <w:lang w:val="en-GB"/>
        </w:rPr>
      </w:pPr>
      <w:r w:rsidRPr="00604601">
        <w:rPr>
          <w:lang w:val="en-GB"/>
        </w:rPr>
        <w:t>- basic professional studies (180 ECTS bachelor applied).</w:t>
      </w:r>
    </w:p>
    <w:p w:rsidR="00604601" w:rsidRPr="00604601" w:rsidRDefault="00604601" w:rsidP="00502679">
      <w:pPr>
        <w:jc w:val="both"/>
        <w:rPr>
          <w:lang w:val="en-GB"/>
        </w:rPr>
      </w:pPr>
      <w:r w:rsidRPr="00604601">
        <w:rPr>
          <w:lang w:val="en-GB"/>
        </w:rPr>
        <w:t>2. seventh level studies are:</w:t>
      </w:r>
    </w:p>
    <w:p w:rsidR="00604601" w:rsidRPr="00604601" w:rsidRDefault="00604601" w:rsidP="00502679">
      <w:pPr>
        <w:jc w:val="both"/>
        <w:rPr>
          <w:lang w:val="en-GB"/>
        </w:rPr>
      </w:pPr>
      <w:r w:rsidRPr="00604601">
        <w:rPr>
          <w:lang w:val="en-GB"/>
        </w:rPr>
        <w:t>- master academic studies;</w:t>
      </w:r>
    </w:p>
    <w:p w:rsidR="00604601" w:rsidRPr="00604601" w:rsidRDefault="00604601" w:rsidP="00502679">
      <w:pPr>
        <w:jc w:val="both"/>
        <w:rPr>
          <w:lang w:val="en-GB"/>
        </w:rPr>
      </w:pPr>
      <w:r w:rsidRPr="00604601">
        <w:rPr>
          <w:lang w:val="en-GB"/>
        </w:rPr>
        <w:t>- master professional studies;</w:t>
      </w:r>
    </w:p>
    <w:p w:rsidR="00604601" w:rsidRPr="00604601" w:rsidRDefault="00604601" w:rsidP="00502679">
      <w:pPr>
        <w:jc w:val="both"/>
        <w:rPr>
          <w:lang w:val="en-GB"/>
        </w:rPr>
      </w:pPr>
      <w:r w:rsidRPr="00604601">
        <w:rPr>
          <w:lang w:val="en-GB"/>
        </w:rPr>
        <w:t>- specialist academic studies;</w:t>
      </w:r>
    </w:p>
    <w:p w:rsidR="00604601" w:rsidRPr="00604601" w:rsidRDefault="00604601" w:rsidP="00502679">
      <w:pPr>
        <w:jc w:val="both"/>
        <w:rPr>
          <w:lang w:val="en-GB"/>
        </w:rPr>
      </w:pPr>
      <w:r w:rsidRPr="00604601">
        <w:rPr>
          <w:lang w:val="en-GB"/>
        </w:rPr>
        <w:t>- specialized professional studies.</w:t>
      </w:r>
    </w:p>
    <w:p w:rsidR="00604601" w:rsidRPr="00604601" w:rsidRDefault="00604601" w:rsidP="00502679">
      <w:pPr>
        <w:jc w:val="both"/>
        <w:rPr>
          <w:lang w:val="en-GB"/>
        </w:rPr>
      </w:pPr>
      <w:r w:rsidRPr="00604601">
        <w:rPr>
          <w:lang w:val="en-GB"/>
        </w:rPr>
        <w:t>3. eighth level studies are doctoral studies:</w:t>
      </w:r>
    </w:p>
    <w:p w:rsidR="00604601" w:rsidRPr="00604601" w:rsidRDefault="00604601" w:rsidP="00502679">
      <w:pPr>
        <w:jc w:val="both"/>
        <w:rPr>
          <w:lang w:val="en-GB"/>
        </w:rPr>
      </w:pPr>
      <w:r w:rsidRPr="00604601">
        <w:rPr>
          <w:lang w:val="en-GB"/>
        </w:rPr>
        <w:t>- doctoral academic studies;</w:t>
      </w:r>
    </w:p>
    <w:p w:rsidR="00604601" w:rsidRPr="00604601" w:rsidRDefault="00604601" w:rsidP="00502679">
      <w:pPr>
        <w:jc w:val="both"/>
        <w:rPr>
          <w:lang w:val="en-GB"/>
        </w:rPr>
      </w:pPr>
      <w:r w:rsidRPr="00604601">
        <w:rPr>
          <w:lang w:val="en-GB"/>
        </w:rPr>
        <w:t>- doctoral professional studies.</w:t>
      </w:r>
    </w:p>
    <w:p w:rsidR="00604601" w:rsidRPr="00604601" w:rsidRDefault="00604601" w:rsidP="00502679">
      <w:pPr>
        <w:jc w:val="both"/>
        <w:rPr>
          <w:lang w:val="en-GB"/>
        </w:rPr>
      </w:pPr>
      <w:r w:rsidRPr="00604601">
        <w:rPr>
          <w:lang w:val="en-GB"/>
        </w:rPr>
        <w:t>Are part-time degrees available?</w:t>
      </w:r>
    </w:p>
    <w:p w:rsidR="00604601" w:rsidRPr="00604601" w:rsidRDefault="00604601" w:rsidP="00502679">
      <w:pPr>
        <w:jc w:val="both"/>
        <w:rPr>
          <w:lang w:val="en-GB"/>
        </w:rPr>
      </w:pPr>
      <w:r w:rsidRPr="00604601">
        <w:rPr>
          <w:lang w:val="en-GB"/>
        </w:rPr>
        <w:t>According to the existing Law on higher education, a student who pay for his education, during each school year can attend courses to a total of 37 ECTS. Also, under the current law, student can complete a degree program in the double number of years compared to the duration of the study program. Accordingly, in my opinion, this mode of study represents some form Part time study or study while working.</w:t>
      </w:r>
    </w:p>
    <w:p w:rsidR="00604601" w:rsidRPr="00604601" w:rsidRDefault="00604601" w:rsidP="00502679">
      <w:pPr>
        <w:jc w:val="both"/>
        <w:rPr>
          <w:lang w:val="en-GB"/>
        </w:rPr>
      </w:pPr>
      <w:r w:rsidRPr="00604601">
        <w:rPr>
          <w:lang w:val="en-GB"/>
        </w:rPr>
        <w:t>Are part-time degrees available?</w:t>
      </w:r>
    </w:p>
    <w:p w:rsidR="00604601" w:rsidRPr="00604601" w:rsidRDefault="00604601" w:rsidP="00502679">
      <w:pPr>
        <w:jc w:val="both"/>
        <w:rPr>
          <w:lang w:val="en-GB"/>
        </w:rPr>
      </w:pPr>
      <w:r w:rsidRPr="00604601">
        <w:rPr>
          <w:lang w:val="en-GB"/>
        </w:rPr>
        <w:lastRenderedPageBreak/>
        <w:t>No (described above). The students that enrolled part-time studies before they were repealed in 2002 have the legal deadline to finish the studies by the end of this school year.</w:t>
      </w:r>
    </w:p>
    <w:p w:rsidR="00604601" w:rsidRPr="00604601" w:rsidRDefault="00604601" w:rsidP="00502679">
      <w:pPr>
        <w:jc w:val="both"/>
        <w:rPr>
          <w:lang w:val="en-GB"/>
        </w:rPr>
      </w:pPr>
      <w:r w:rsidRPr="00604601">
        <w:rPr>
          <w:lang w:val="en-GB"/>
        </w:rPr>
        <w:t>Other country studies that might be studied further are Ireland. This is similar to Scotland with a mixture of exit points in both academic and professional programmes. (Kirsch, Beernaert, 78-82, 155-159)</w:t>
      </w:r>
    </w:p>
    <w:p w:rsidR="00604601" w:rsidRPr="00604601" w:rsidRDefault="00604601" w:rsidP="00502679">
      <w:pPr>
        <w:jc w:val="both"/>
        <w:rPr>
          <w:lang w:val="en-GB"/>
        </w:rPr>
      </w:pPr>
    </w:p>
    <w:p w:rsidR="00604601" w:rsidRPr="00604601" w:rsidRDefault="00604601" w:rsidP="00502679">
      <w:pPr>
        <w:jc w:val="both"/>
        <w:rPr>
          <w:lang w:val="en-GB"/>
        </w:rPr>
      </w:pPr>
      <w:r w:rsidRPr="00604601">
        <w:rPr>
          <w:lang w:val="en-GB"/>
        </w:rPr>
        <w:t>The Aberdeen Study Visit in June 2016</w:t>
      </w:r>
    </w:p>
    <w:p w:rsidR="00604601" w:rsidRPr="00604601" w:rsidRDefault="00604601" w:rsidP="00502679">
      <w:pPr>
        <w:jc w:val="both"/>
        <w:rPr>
          <w:lang w:val="en-GB"/>
        </w:rPr>
      </w:pPr>
      <w:r w:rsidRPr="00604601">
        <w:rPr>
          <w:lang w:val="en-GB"/>
        </w:rPr>
        <w:t>Issues to explore were gathered in a workshop with visitors from Serbia in Aberdeen in June 2016. These covered a number of issue areas like staff, students and others as noted below in italics with our answers following the questions:</w:t>
      </w:r>
    </w:p>
    <w:p w:rsidR="00604601" w:rsidRPr="00604601" w:rsidRDefault="00604601" w:rsidP="00502679">
      <w:pPr>
        <w:jc w:val="both"/>
        <w:rPr>
          <w:lang w:val="en-GB"/>
        </w:rPr>
      </w:pPr>
      <w:r w:rsidRPr="00604601">
        <w:rPr>
          <w:lang w:val="en-GB"/>
        </w:rPr>
        <w:t>Legislation:</w:t>
      </w:r>
    </w:p>
    <w:p w:rsidR="00604601" w:rsidRPr="00604601" w:rsidRDefault="00604601" w:rsidP="00502679">
      <w:pPr>
        <w:jc w:val="both"/>
        <w:rPr>
          <w:lang w:val="en-GB"/>
        </w:rPr>
      </w:pPr>
      <w:r w:rsidRPr="00604601">
        <w:rPr>
          <w:i/>
          <w:iCs/>
          <w:lang w:val="en-GB"/>
        </w:rPr>
        <w:t>The minister of education wants a new law on PT&amp;SCHE and there should be accreditation of new programmes along with reimbursement for reviewers as part of the funding for this body, as part of an ongoing quality assurance programme for PT&amp;SCHE. There is still a question of whether this should be free or if there should be tuition fees</w:t>
      </w:r>
      <w:r w:rsidRPr="00604601">
        <w:rPr>
          <w:lang w:val="en-GB"/>
        </w:rPr>
        <w:t xml:space="preserve">. </w:t>
      </w:r>
    </w:p>
    <w:p w:rsidR="00604601" w:rsidRPr="00604601" w:rsidRDefault="00604601" w:rsidP="00502679">
      <w:pPr>
        <w:jc w:val="both"/>
        <w:rPr>
          <w:lang w:val="en-GB"/>
        </w:rPr>
      </w:pPr>
      <w:r w:rsidRPr="00604601">
        <w:rPr>
          <w:lang w:val="en-GB"/>
        </w:rPr>
        <w:t>As can be seen from the studies above, there is no precedent, or agreement on this, so countries can follow their tradition here.</w:t>
      </w:r>
    </w:p>
    <w:p w:rsidR="00604601" w:rsidRPr="00604601" w:rsidRDefault="00604601" w:rsidP="00502679">
      <w:pPr>
        <w:jc w:val="both"/>
        <w:rPr>
          <w:lang w:val="en-GB"/>
        </w:rPr>
      </w:pPr>
      <w:r w:rsidRPr="00604601">
        <w:rPr>
          <w:lang w:val="en-GB"/>
        </w:rPr>
        <w:t>Students:</w:t>
      </w:r>
    </w:p>
    <w:p w:rsidR="00604601" w:rsidRPr="00604601" w:rsidRDefault="00604601" w:rsidP="00502679">
      <w:pPr>
        <w:jc w:val="both"/>
        <w:rPr>
          <w:i/>
          <w:iCs/>
          <w:lang w:val="en-GB"/>
        </w:rPr>
      </w:pPr>
      <w:r w:rsidRPr="00604601">
        <w:rPr>
          <w:i/>
          <w:iCs/>
          <w:lang w:val="en-GB"/>
        </w:rPr>
        <w:t xml:space="preserve">Part-time students should be able to use new technology and new study processes in combination with their work process so that they can complete the study at an affordable price. </w:t>
      </w:r>
    </w:p>
    <w:p w:rsidR="00604601" w:rsidRPr="00604601" w:rsidRDefault="00604601" w:rsidP="00502679">
      <w:pPr>
        <w:jc w:val="both"/>
        <w:rPr>
          <w:lang w:val="en-GB"/>
        </w:rPr>
      </w:pPr>
      <w:r w:rsidRPr="00604601">
        <w:rPr>
          <w:lang w:val="en-GB"/>
        </w:rPr>
        <w:t>This is not addressed by the literature directly, but would fall in with a variety of study modes being available to students and the notion common in some places that part-time students have the same rights as full-time students.</w:t>
      </w:r>
    </w:p>
    <w:p w:rsidR="00604601" w:rsidRPr="00604601" w:rsidRDefault="00604601" w:rsidP="00502679">
      <w:pPr>
        <w:jc w:val="both"/>
        <w:rPr>
          <w:i/>
          <w:iCs/>
          <w:lang w:val="en-GB"/>
        </w:rPr>
      </w:pPr>
      <w:r w:rsidRPr="00604601">
        <w:rPr>
          <w:i/>
          <w:iCs/>
          <w:lang w:val="en-GB"/>
        </w:rPr>
        <w:t>Short cycle students need to have a quite clear request to enrol and study on a clear programme of courses and understand what the courses will offer them. On the course they should find enough practice time to become proficient in the new skills and knowledge they have learned. These short cycle programmes should be as short as possible, while still delivering capable students.</w:t>
      </w:r>
    </w:p>
    <w:p w:rsidR="00604601" w:rsidRPr="00604601" w:rsidRDefault="00604601" w:rsidP="00502679">
      <w:pPr>
        <w:jc w:val="both"/>
        <w:rPr>
          <w:lang w:val="en-GB"/>
        </w:rPr>
      </w:pPr>
      <w:r w:rsidRPr="00604601">
        <w:rPr>
          <w:lang w:val="en-GB"/>
        </w:rPr>
        <w:t xml:space="preserve">The literature above suggests that this should happen as long as each programme has a clear set of learning outcomes, which have perhaps been drafted with the help of employers so that it </w:t>
      </w:r>
      <w:r w:rsidRPr="00604601">
        <w:rPr>
          <w:lang w:val="en-GB"/>
        </w:rPr>
        <w:lastRenderedPageBreak/>
        <w:t>is clear what is included in the curricula, and what the student will be able to do after completion of their studies.</w:t>
      </w:r>
    </w:p>
    <w:p w:rsidR="00604601" w:rsidRPr="00604601" w:rsidRDefault="00604601" w:rsidP="00502679">
      <w:pPr>
        <w:jc w:val="both"/>
        <w:rPr>
          <w:lang w:val="en-GB"/>
        </w:rPr>
      </w:pPr>
      <w:r w:rsidRPr="00604601">
        <w:rPr>
          <w:lang w:val="en-GB"/>
        </w:rPr>
        <w:t xml:space="preserve">Staff: </w:t>
      </w:r>
    </w:p>
    <w:p w:rsidR="00604601" w:rsidRPr="00604601" w:rsidRDefault="00604601" w:rsidP="00502679">
      <w:pPr>
        <w:jc w:val="both"/>
        <w:rPr>
          <w:i/>
          <w:iCs/>
          <w:lang w:val="en-GB"/>
        </w:rPr>
      </w:pPr>
      <w:r w:rsidRPr="00604601">
        <w:rPr>
          <w:i/>
          <w:iCs/>
          <w:lang w:val="en-GB"/>
        </w:rPr>
        <w:t>The motivation of teachers and the regulation of the workload (although some might not want to change) to raise awareness of the purpose of short cycle courses, for which staff might get some promotional points as this is a long term goal, and will include some new subjects too. Sometimes this might mean that staff need to learn new skills too as it’s subject they’ve not taught before. It is not always clear either, how this relates to industry and staff will need time to network and develop appropriate contacts as this is different from what they need for academic recognition and skills.</w:t>
      </w:r>
    </w:p>
    <w:p w:rsidR="00604601" w:rsidRPr="00604601" w:rsidRDefault="00604601" w:rsidP="00502679">
      <w:pPr>
        <w:jc w:val="both"/>
        <w:rPr>
          <w:lang w:val="en-GB"/>
        </w:rPr>
      </w:pPr>
      <w:r w:rsidRPr="00604601">
        <w:rPr>
          <w:lang w:val="en-GB"/>
        </w:rPr>
        <w:t>None of these issues were addressed in the literature, but should be dealt with in the same way as staff deal with new curricula on regular degree programmes.</w:t>
      </w:r>
    </w:p>
    <w:p w:rsidR="00604601" w:rsidRPr="00604601" w:rsidRDefault="00604601" w:rsidP="00502679">
      <w:pPr>
        <w:jc w:val="both"/>
        <w:rPr>
          <w:lang w:val="en-GB"/>
        </w:rPr>
      </w:pPr>
      <w:r w:rsidRPr="00604601">
        <w:rPr>
          <w:lang w:val="en-GB"/>
        </w:rPr>
        <w:t>Organisation:</w:t>
      </w:r>
    </w:p>
    <w:p w:rsidR="00604601" w:rsidRPr="00604601" w:rsidRDefault="00604601" w:rsidP="00502679">
      <w:pPr>
        <w:jc w:val="both"/>
        <w:rPr>
          <w:i/>
          <w:iCs/>
          <w:lang w:val="en-GB"/>
        </w:rPr>
      </w:pPr>
      <w:r w:rsidRPr="00604601">
        <w:rPr>
          <w:i/>
          <w:iCs/>
          <w:lang w:val="en-GB"/>
        </w:rPr>
        <w:t>There are several questions here: Should short cycle be counted towards the first cycle, ie 120 ECTS, or be separate? Similarly, should this be post high school, or post undergraduate level? How many credits are suitable, and does it depend upon the subject? Is there a min and a max?</w:t>
      </w:r>
    </w:p>
    <w:p w:rsidR="00604601" w:rsidRPr="00604601" w:rsidRDefault="00604601" w:rsidP="00502679">
      <w:pPr>
        <w:jc w:val="both"/>
        <w:rPr>
          <w:lang w:val="en-GB"/>
        </w:rPr>
      </w:pPr>
      <w:r w:rsidRPr="00604601">
        <w:rPr>
          <w:lang w:val="en-GB"/>
        </w:rPr>
        <w:t>The literature suggests that both options are possible; a short cycle can be independent, and/or it can also be the first part of a first cycle degree. This is usually at level 5 as a step towards level 6, with most programmes being 120 ECTS.</w:t>
      </w:r>
    </w:p>
    <w:p w:rsidR="00604601" w:rsidRPr="00604601" w:rsidRDefault="00604601" w:rsidP="00502679">
      <w:pPr>
        <w:jc w:val="both"/>
        <w:rPr>
          <w:i/>
          <w:iCs/>
          <w:lang w:val="en-GB"/>
        </w:rPr>
      </w:pPr>
      <w:r w:rsidRPr="00604601">
        <w:rPr>
          <w:i/>
          <w:iCs/>
          <w:lang w:val="en-GB"/>
        </w:rPr>
        <w:t>With respect to part-time, is this just double the normal degree time, or might it be infinite according to the needs of the student? What conditions apply for students to apply for part-time?</w:t>
      </w:r>
    </w:p>
    <w:p w:rsidR="00604601" w:rsidRPr="00604601" w:rsidRDefault="00604601" w:rsidP="00502679">
      <w:pPr>
        <w:jc w:val="both"/>
        <w:rPr>
          <w:lang w:val="en-GB"/>
        </w:rPr>
      </w:pPr>
      <w:r w:rsidRPr="00604601">
        <w:rPr>
          <w:lang w:val="en-GB"/>
        </w:rPr>
        <w:t>There is no clear answer on this from the literature as numerous options appear to happen, and while the words might differ, the results are the same. Students can study for the same length of time with lower credits per term, or they can just take longer to complete their credits. The key factor might not be the time, but rather how the studying is done so as to accommodate those students who work. For example, are the classes in the evenings, or online, or done in blocks so that the student can attend the class while working.</w:t>
      </w:r>
    </w:p>
    <w:p w:rsidR="00604601" w:rsidRPr="00604601" w:rsidRDefault="00604601" w:rsidP="00502679">
      <w:pPr>
        <w:jc w:val="both"/>
        <w:rPr>
          <w:i/>
          <w:iCs/>
          <w:lang w:val="en-GB"/>
        </w:rPr>
      </w:pPr>
      <w:r w:rsidRPr="00604601">
        <w:rPr>
          <w:i/>
          <w:iCs/>
          <w:lang w:val="en-GB"/>
        </w:rPr>
        <w:t>What is the sustainability model for part-time and short cycle? Is it all about the financial models and the popularity of the two streams.</w:t>
      </w:r>
    </w:p>
    <w:p w:rsidR="00604601" w:rsidRPr="00604601" w:rsidRDefault="00604601" w:rsidP="00502679">
      <w:pPr>
        <w:jc w:val="both"/>
        <w:rPr>
          <w:lang w:val="en-GB"/>
        </w:rPr>
      </w:pPr>
      <w:r w:rsidRPr="00604601">
        <w:rPr>
          <w:lang w:val="en-GB"/>
        </w:rPr>
        <w:t>This was not addressed directly by the literature, although it did suggest that part-time might be fee paying.</w:t>
      </w:r>
    </w:p>
    <w:p w:rsidR="00604601" w:rsidRPr="00604601" w:rsidRDefault="00604601" w:rsidP="00502679">
      <w:pPr>
        <w:jc w:val="both"/>
        <w:rPr>
          <w:i/>
          <w:iCs/>
          <w:lang w:val="en-GB"/>
        </w:rPr>
      </w:pPr>
      <w:r w:rsidRPr="00604601">
        <w:rPr>
          <w:i/>
          <w:iCs/>
          <w:lang w:val="en-GB"/>
        </w:rPr>
        <w:lastRenderedPageBreak/>
        <w:t xml:space="preserve">Similarly, how are these subjects to be taught? Are there any lessons to be followed about the different ways of delivering different types of studies? </w:t>
      </w:r>
    </w:p>
    <w:p w:rsidR="00604601" w:rsidRPr="00604601" w:rsidRDefault="00604601" w:rsidP="00502679">
      <w:pPr>
        <w:jc w:val="both"/>
        <w:rPr>
          <w:lang w:val="en-GB"/>
        </w:rPr>
      </w:pPr>
      <w:r w:rsidRPr="00604601">
        <w:rPr>
          <w:lang w:val="en-GB"/>
        </w:rPr>
        <w:t>This was not addressed by the literature.</w:t>
      </w:r>
    </w:p>
    <w:p w:rsidR="00604601" w:rsidRPr="00604601" w:rsidRDefault="00604601" w:rsidP="00502679">
      <w:pPr>
        <w:jc w:val="both"/>
        <w:rPr>
          <w:lang w:val="en-GB"/>
        </w:rPr>
      </w:pPr>
      <w:r w:rsidRPr="00604601">
        <w:rPr>
          <w:lang w:val="en-GB"/>
        </w:rPr>
        <w:t>Work and the Labour Market:</w:t>
      </w:r>
    </w:p>
    <w:p w:rsidR="00604601" w:rsidRPr="00604601" w:rsidRDefault="00604601" w:rsidP="00502679">
      <w:pPr>
        <w:jc w:val="both"/>
        <w:rPr>
          <w:i/>
          <w:iCs/>
          <w:lang w:val="en-GB"/>
        </w:rPr>
      </w:pPr>
      <w:r w:rsidRPr="00604601">
        <w:rPr>
          <w:i/>
          <w:iCs/>
          <w:lang w:val="en-GB"/>
        </w:rPr>
        <w:t>Short cycle and part-time should be recognised by national employment services and offer better chances for employment because it is built upon better communication between labour market and the academic world, and the involvement of industry in the curriculum development. Maybe there should also be a mandatory internship. Some examples of how others involve industry would be useful to see because we’d want to have a responsive and useful system.</w:t>
      </w:r>
    </w:p>
    <w:p w:rsidR="00604601" w:rsidRPr="00604601" w:rsidRDefault="00604601" w:rsidP="00502679">
      <w:pPr>
        <w:jc w:val="both"/>
        <w:rPr>
          <w:lang w:val="en-GB"/>
        </w:rPr>
      </w:pPr>
      <w:r w:rsidRPr="00604601">
        <w:rPr>
          <w:lang w:val="en-GB"/>
        </w:rPr>
        <w:t>The literature suggests that these practices happen elsewhere with some degrees having mandatory internships, and elsewhere this is recommended. It is also possible that this can be developed easily if staff have professional and academic qualifications while also working in industry as well as academia.</w:t>
      </w:r>
    </w:p>
    <w:p w:rsidR="00604601" w:rsidRPr="00604601" w:rsidRDefault="00604601" w:rsidP="00502679">
      <w:pPr>
        <w:jc w:val="both"/>
        <w:rPr>
          <w:i/>
          <w:iCs/>
          <w:lang w:val="en-GB"/>
        </w:rPr>
      </w:pPr>
      <w:r w:rsidRPr="00604601">
        <w:rPr>
          <w:i/>
          <w:iCs/>
          <w:lang w:val="en-GB"/>
        </w:rPr>
        <w:t>It might be interesting to know how SCHE contribute to more young entrepreneurs.</w:t>
      </w:r>
    </w:p>
    <w:p w:rsidR="00604601" w:rsidRPr="00604601" w:rsidRDefault="00604601" w:rsidP="00502679">
      <w:pPr>
        <w:jc w:val="both"/>
        <w:rPr>
          <w:lang w:val="en-GB"/>
        </w:rPr>
      </w:pPr>
      <w:r w:rsidRPr="00604601">
        <w:rPr>
          <w:lang w:val="en-GB"/>
        </w:rPr>
        <w:t>This was not addressed in the literature.</w:t>
      </w:r>
    </w:p>
    <w:p w:rsidR="00604601" w:rsidRPr="00604601" w:rsidRDefault="00604601" w:rsidP="00502679">
      <w:pPr>
        <w:jc w:val="both"/>
        <w:rPr>
          <w:lang w:val="en-GB"/>
        </w:rPr>
      </w:pPr>
    </w:p>
    <w:p w:rsidR="00604601" w:rsidRPr="00604601" w:rsidRDefault="00604601" w:rsidP="00502679">
      <w:pPr>
        <w:jc w:val="both"/>
        <w:rPr>
          <w:lang w:val="en-GB"/>
        </w:rPr>
      </w:pPr>
      <w:r w:rsidRPr="00604601">
        <w:rPr>
          <w:lang w:val="en-GB"/>
        </w:rPr>
        <w:t>Recommendation</w:t>
      </w:r>
    </w:p>
    <w:p w:rsidR="00604601" w:rsidRPr="00604601" w:rsidRDefault="00604601" w:rsidP="00502679">
      <w:pPr>
        <w:jc w:val="both"/>
        <w:rPr>
          <w:lang w:val="en-GB"/>
        </w:rPr>
      </w:pPr>
      <w:r w:rsidRPr="00604601">
        <w:rPr>
          <w:lang w:val="en-GB"/>
        </w:rPr>
        <w:t xml:space="preserve">The recommendation of this report is for Serbia to offer short cycle programmes, which enables students a path between secondary and university with vocational qualifications on the way. This should enable students to stop and start their career and then come back to level 5 if they need to, or want to have a career change. To that end there should also be ‘bridge programmes’ so that students who have skills and qualifications in one area can also transition into another area as easily as possible. In the meantime, however, the credits accumulated for different courses should be combined towards continuing education at university level as needed. Specific examples to explore further would be Estonia, Scotland, and Ireland. </w:t>
      </w:r>
    </w:p>
    <w:p w:rsidR="00604601" w:rsidRPr="00604601" w:rsidRDefault="00604601" w:rsidP="00502679">
      <w:pPr>
        <w:jc w:val="both"/>
        <w:rPr>
          <w:lang w:val="en-GB"/>
        </w:rPr>
      </w:pPr>
      <w:r w:rsidRPr="00604601">
        <w:rPr>
          <w:lang w:val="en-GB"/>
        </w:rPr>
        <w:t>In addition, short cycle and first cycle programmes from outside Serbia should also be recognised. This will widen the pool of options for students, as well as to enable others to study short cycle programmes in Serbia. This can best be done by accrediting programmes based on learning outcomes of the students.</w:t>
      </w:r>
    </w:p>
    <w:p w:rsidR="00604601" w:rsidRPr="00604601" w:rsidRDefault="00604601" w:rsidP="00502679">
      <w:pPr>
        <w:jc w:val="both"/>
        <w:rPr>
          <w:lang w:val="en-GB"/>
        </w:rPr>
      </w:pPr>
      <w:r w:rsidRPr="00604601">
        <w:rPr>
          <w:lang w:val="en-GB"/>
        </w:rPr>
        <w:t xml:space="preserve">With respect to part-time degrees, then legislation should enable students of any age to study part-time. In particular, this should be as flexible as possible for older students, who might have family work commitments, which constrain their options for study. Whether the time measures, or </w:t>
      </w:r>
      <w:r w:rsidRPr="00604601">
        <w:rPr>
          <w:lang w:val="en-GB"/>
        </w:rPr>
        <w:lastRenderedPageBreak/>
        <w:t>credit measures are used to determine how fast, or slow this happens is probably not important. The key factor would be that it can available to as many students as possible to enable them to move from their current qualifications to the ones they need for their new, or desired role.</w:t>
      </w:r>
    </w:p>
    <w:p w:rsidR="00604601" w:rsidRDefault="00604601" w:rsidP="00502679">
      <w:pPr>
        <w:jc w:val="both"/>
        <w:rPr>
          <w:lang w:val="en-GB"/>
        </w:rPr>
      </w:pPr>
    </w:p>
    <w:p w:rsidR="00502679" w:rsidRPr="00604601" w:rsidRDefault="00502679" w:rsidP="00502679">
      <w:pPr>
        <w:jc w:val="both"/>
        <w:rPr>
          <w:lang w:val="en-GB"/>
        </w:rPr>
      </w:pPr>
    </w:p>
    <w:p w:rsidR="00D63A45" w:rsidRDefault="00D63A45" w:rsidP="00502679">
      <w:pPr>
        <w:jc w:val="both"/>
        <w:rPr>
          <w:u w:val="single"/>
          <w:lang w:val="en-GB"/>
        </w:rPr>
      </w:pPr>
    </w:p>
    <w:p w:rsidR="00604601" w:rsidRPr="00353E21" w:rsidRDefault="00604601" w:rsidP="00502679">
      <w:pPr>
        <w:jc w:val="both"/>
        <w:rPr>
          <w:u w:val="single"/>
          <w:lang w:val="en-GB"/>
        </w:rPr>
      </w:pPr>
      <w:r w:rsidRPr="00353E21">
        <w:rPr>
          <w:u w:val="single"/>
          <w:lang w:val="en-GB"/>
        </w:rPr>
        <w:t>Bibliography</w:t>
      </w:r>
    </w:p>
    <w:p w:rsidR="00604601" w:rsidRPr="00604601" w:rsidRDefault="00604601" w:rsidP="00502679">
      <w:pPr>
        <w:jc w:val="both"/>
        <w:rPr>
          <w:lang w:val="en-GB"/>
        </w:rPr>
      </w:pPr>
      <w:r w:rsidRPr="00604601">
        <w:rPr>
          <w:lang w:val="en-GB"/>
        </w:rPr>
        <w:t xml:space="preserve">Kirsch, Magda, Beernaert, Yves. </w:t>
      </w:r>
      <w:r w:rsidRPr="00604601">
        <w:rPr>
          <w:i/>
          <w:iCs/>
          <w:lang w:val="en-GB"/>
        </w:rPr>
        <w:t>Short Cycle Higher Education in Europe Level 5: the Missing Link</w:t>
      </w:r>
      <w:r w:rsidRPr="00604601">
        <w:rPr>
          <w:lang w:val="en-GB"/>
        </w:rPr>
        <w:t xml:space="preserve"> Brussels, Eurashe, 2011. Available from (accessed 5 June, 2016) </w:t>
      </w:r>
      <w:hyperlink r:id="rId17" w:history="1">
        <w:r w:rsidRPr="00604601">
          <w:rPr>
            <w:rStyle w:val="Hyperlink"/>
            <w:lang w:val="en-GB"/>
          </w:rPr>
          <w:t>http://www.eurashe.eu/library/l5_report_sche_in_europe_full_report_jan2011-pdf/</w:t>
        </w:r>
      </w:hyperlink>
      <w:r w:rsidRPr="00604601">
        <w:rPr>
          <w:lang w:val="en-GB"/>
        </w:rPr>
        <w:t xml:space="preserve"> </w:t>
      </w:r>
    </w:p>
    <w:p w:rsidR="00604601" w:rsidRPr="00604601" w:rsidRDefault="00604601" w:rsidP="00502679">
      <w:pPr>
        <w:jc w:val="both"/>
        <w:rPr>
          <w:lang w:val="en-GB"/>
        </w:rPr>
      </w:pPr>
      <w:r w:rsidRPr="00604601">
        <w:rPr>
          <w:lang w:val="en-GB"/>
        </w:rPr>
        <w:t xml:space="preserve">European Commission/EACEA/Eurydice, 2015. </w:t>
      </w:r>
      <w:r w:rsidRPr="00604601">
        <w:rPr>
          <w:i/>
          <w:iCs/>
          <w:lang w:val="en-GB"/>
        </w:rPr>
        <w:t>The European Higher Education Area in 2015: Bologna Process Implementation Report.</w:t>
      </w:r>
      <w:r w:rsidRPr="00604601">
        <w:rPr>
          <w:lang w:val="en-GB"/>
        </w:rPr>
        <w:t xml:space="preserve"> Luxembourg: Publications Office of the European Union. Available from (assessed 13 June, 2016) </w:t>
      </w:r>
      <w:hyperlink r:id="rId18" w:history="1">
        <w:r w:rsidRPr="00604601">
          <w:rPr>
            <w:rStyle w:val="Hyperlink"/>
            <w:lang w:val="en-GB"/>
          </w:rPr>
          <w:t>http://eacea.ec.europa.eu/education/eurydice/documents/thematic_reports/182EN.pdf</w:t>
        </w:r>
      </w:hyperlink>
      <w:r w:rsidRPr="00604601">
        <w:rPr>
          <w:lang w:val="en-GB"/>
        </w:rPr>
        <w:t xml:space="preserve"> </w:t>
      </w:r>
    </w:p>
    <w:p w:rsidR="00604601" w:rsidRPr="00604601" w:rsidRDefault="007C6366" w:rsidP="00502679">
      <w:pPr>
        <w:jc w:val="both"/>
        <w:rPr>
          <w:lang w:val="en-GB"/>
        </w:rPr>
      </w:pPr>
      <w:hyperlink r:id="rId19" w:history="1">
        <w:r w:rsidR="00604601" w:rsidRPr="00604601">
          <w:rPr>
            <w:rStyle w:val="Hyperlink"/>
            <w:lang w:val="en-GB"/>
          </w:rPr>
          <w:t>http://www.mizs.gov.si/fileadmin/mizs.gov.si/pageuploads/ANG/Organisation_and_Financing_of_Education_Act_Dec_2015.pdf</w:t>
        </w:r>
      </w:hyperlink>
      <w:r w:rsidR="00604601" w:rsidRPr="00604601">
        <w:rPr>
          <w:lang w:val="en-GB"/>
        </w:rPr>
        <w:t xml:space="preserve"> </w:t>
      </w:r>
    </w:p>
    <w:p w:rsidR="00604601" w:rsidRPr="00604601" w:rsidRDefault="00604601" w:rsidP="00502679">
      <w:pPr>
        <w:jc w:val="both"/>
        <w:rPr>
          <w:lang w:val="en-GB"/>
        </w:rPr>
      </w:pPr>
    </w:p>
    <w:p w:rsidR="00604601" w:rsidRPr="00353E21" w:rsidRDefault="00604601" w:rsidP="00502679">
      <w:pPr>
        <w:jc w:val="both"/>
        <w:rPr>
          <w:u w:val="single"/>
          <w:lang w:val="en-GB"/>
        </w:rPr>
      </w:pPr>
      <w:r w:rsidRPr="00353E21">
        <w:rPr>
          <w:u w:val="single"/>
          <w:lang w:val="en-GB"/>
        </w:rPr>
        <w:t>Extras</w:t>
      </w:r>
    </w:p>
    <w:p w:rsidR="00604601" w:rsidRPr="00604601" w:rsidRDefault="007C6366" w:rsidP="00502679">
      <w:pPr>
        <w:jc w:val="both"/>
        <w:rPr>
          <w:lang w:val="en-GB"/>
        </w:rPr>
      </w:pPr>
      <w:hyperlink r:id="rId20" w:history="1">
        <w:r w:rsidR="00604601" w:rsidRPr="00604601">
          <w:rPr>
            <w:rStyle w:val="Hyperlink"/>
            <w:lang w:val="en-GB"/>
          </w:rPr>
          <w:t>https://ec.europa.eu/ploteus/en/compare</w:t>
        </w:r>
      </w:hyperlink>
      <w:r w:rsidR="00604601" w:rsidRPr="00604601">
        <w:rPr>
          <w:lang w:val="en-GB"/>
        </w:rPr>
        <w:t xml:space="preserve"> offers some comparisons of EQFs across Europe</w:t>
      </w:r>
    </w:p>
    <w:p w:rsidR="00604601" w:rsidRPr="00604601" w:rsidRDefault="00604601" w:rsidP="00502679">
      <w:pPr>
        <w:jc w:val="both"/>
        <w:rPr>
          <w:lang w:val="en-GB"/>
        </w:rPr>
      </w:pPr>
    </w:p>
    <w:p w:rsidR="00604601" w:rsidRPr="00604601" w:rsidRDefault="00604601" w:rsidP="00502679">
      <w:pPr>
        <w:jc w:val="both"/>
      </w:pPr>
    </w:p>
    <w:sectPr w:rsidR="00604601" w:rsidRPr="00604601" w:rsidSect="001147C6">
      <w:headerReference w:type="default" r:id="rId21"/>
      <w:footerReference w:type="default" r:id="rId22"/>
      <w:headerReference w:type="firs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366" w:rsidRDefault="007C6366" w:rsidP="006225E7">
      <w:pPr>
        <w:spacing w:after="0" w:line="240" w:lineRule="auto"/>
      </w:pPr>
      <w:r>
        <w:separator/>
      </w:r>
    </w:p>
  </w:endnote>
  <w:endnote w:type="continuationSeparator" w:id="0">
    <w:p w:rsidR="007C6366" w:rsidRDefault="007C6366" w:rsidP="00622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1013974"/>
      <w:docPartObj>
        <w:docPartGallery w:val="Page Numbers (Bottom of Page)"/>
        <w:docPartUnique/>
      </w:docPartObj>
    </w:sdtPr>
    <w:sdtEndPr>
      <w:rPr>
        <w:noProof/>
      </w:rPr>
    </w:sdtEndPr>
    <w:sdtContent>
      <w:p w:rsidR="001147C6" w:rsidRDefault="001147C6" w:rsidP="001147C6">
        <w:pPr>
          <w:pStyle w:val="Header"/>
        </w:pPr>
        <w:r w:rsidRPr="00192B74">
          <w:rPr>
            <w:rFonts w:cs="Arial"/>
            <w:noProof/>
            <w:color w:val="0D0D0D" w:themeColor="text1" w:themeTint="F2"/>
          </w:rPr>
          <mc:AlternateContent>
            <mc:Choice Requires="wps">
              <w:drawing>
                <wp:anchor distT="0" distB="0" distL="114300" distR="114300" simplePos="0" relativeHeight="251663360" behindDoc="0" locked="0" layoutInCell="1" allowOverlap="1" wp14:anchorId="6254BC4B" wp14:editId="67C8778A">
                  <wp:simplePos x="0" y="0"/>
                  <wp:positionH relativeFrom="column">
                    <wp:posOffset>-32385</wp:posOffset>
                  </wp:positionH>
                  <wp:positionV relativeFrom="paragraph">
                    <wp:posOffset>128905</wp:posOffset>
                  </wp:positionV>
                  <wp:extent cx="5925185" cy="17780"/>
                  <wp:effectExtent l="0" t="0" r="0" b="1270"/>
                  <wp:wrapNone/>
                  <wp:docPr id="3" name="Rectangle 3"/>
                  <wp:cNvGraphicFramePr/>
                  <a:graphic xmlns:a="http://schemas.openxmlformats.org/drawingml/2006/main">
                    <a:graphicData uri="http://schemas.microsoft.com/office/word/2010/wordprocessingShape">
                      <wps:wsp>
                        <wps:cNvSpPr/>
                        <wps:spPr>
                          <a:xfrm>
                            <a:off x="0" y="0"/>
                            <a:ext cx="5925185" cy="17780"/>
                          </a:xfrm>
                          <a:prstGeom prst="rect">
                            <a:avLst/>
                          </a:prstGeom>
                          <a:solidFill>
                            <a:srgbClr val="223D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99B72" id="Rectangle 3" o:spid="_x0000_s1026" style="position:absolute;margin-left:-2.55pt;margin-top:10.15pt;width:466.55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" fillcolor="#223d84" stroked="f" strokeweight="2pt"/>
              </w:pict>
            </mc:Fallback>
          </mc:AlternateContent>
        </w:r>
      </w:p>
      <w:p w:rsidR="001147C6" w:rsidRPr="001147C6" w:rsidRDefault="001147C6" w:rsidP="001147C6">
        <w:pPr>
          <w:pStyle w:val="Footer"/>
          <w:jc w:val="center"/>
          <w:rPr>
            <w:rFonts w:cs="Arial"/>
            <w:color w:val="0D0D0D" w:themeColor="text1" w:themeTint="F2"/>
          </w:rPr>
        </w:pPr>
        <w:r w:rsidRPr="00192B74">
          <w:rPr>
            <w:rFonts w:cs="Arial"/>
            <w:color w:val="0D0D0D" w:themeColor="text1" w:themeTint="F2"/>
          </w:rPr>
          <w:t>www.pt-sche.metropolitan.ac.rs</w:t>
        </w:r>
      </w:p>
      <w:p w:rsidR="00FC381E" w:rsidRDefault="00FC381E">
        <w:pPr>
          <w:pStyle w:val="Footer"/>
          <w:jc w:val="right"/>
        </w:pPr>
        <w:r>
          <w:fldChar w:fldCharType="begin"/>
        </w:r>
        <w:r>
          <w:instrText xml:space="preserve"> PAGE   \* MERGEFORMAT </w:instrText>
        </w:r>
        <w:r>
          <w:fldChar w:fldCharType="separate"/>
        </w:r>
        <w:r w:rsidR="001147C6">
          <w:rPr>
            <w:noProof/>
          </w:rPr>
          <w:t>21</w:t>
        </w:r>
        <w:r>
          <w:rPr>
            <w:noProof/>
          </w:rPr>
          <w:fldChar w:fldCharType="end"/>
        </w:r>
      </w:p>
    </w:sdtContent>
  </w:sdt>
  <w:p w:rsidR="006225E7" w:rsidRPr="00192B74" w:rsidRDefault="006225E7" w:rsidP="00192B74">
    <w:pPr>
      <w:pStyle w:val="Footer"/>
      <w:jc w:val="center"/>
      <w:rPr>
        <w:rFonts w:cs="Arial"/>
        <w:color w:val="0D0D0D" w:themeColor="text1" w:themeTint="F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7C6" w:rsidRDefault="001147C6" w:rsidP="001147C6">
    <w:pPr>
      <w:pStyle w:val="Header"/>
    </w:pPr>
    <w:r w:rsidRPr="00192B74">
      <w:rPr>
        <w:rFonts w:cs="Arial"/>
        <w:noProof/>
        <w:color w:val="0D0D0D" w:themeColor="text1" w:themeTint="F2"/>
      </w:rPr>
      <mc:AlternateContent>
        <mc:Choice Requires="wps">
          <w:drawing>
            <wp:anchor distT="0" distB="0" distL="114300" distR="114300" simplePos="0" relativeHeight="251665408" behindDoc="0" locked="0" layoutInCell="1" allowOverlap="1" wp14:anchorId="6254BC4B" wp14:editId="67C8778A">
              <wp:simplePos x="0" y="0"/>
              <wp:positionH relativeFrom="column">
                <wp:posOffset>-32385</wp:posOffset>
              </wp:positionH>
              <wp:positionV relativeFrom="paragraph">
                <wp:posOffset>128905</wp:posOffset>
              </wp:positionV>
              <wp:extent cx="5925185" cy="17780"/>
              <wp:effectExtent l="0" t="0" r="0" b="1270"/>
              <wp:wrapNone/>
              <wp:docPr id="19" name="Rectangle 19"/>
              <wp:cNvGraphicFramePr/>
              <a:graphic xmlns:a="http://schemas.openxmlformats.org/drawingml/2006/main">
                <a:graphicData uri="http://schemas.microsoft.com/office/word/2010/wordprocessingShape">
                  <wps:wsp>
                    <wps:cNvSpPr/>
                    <wps:spPr>
                      <a:xfrm>
                        <a:off x="0" y="0"/>
                        <a:ext cx="5925185" cy="17780"/>
                      </a:xfrm>
                      <a:prstGeom prst="rect">
                        <a:avLst/>
                      </a:prstGeom>
                      <a:solidFill>
                        <a:srgbClr val="223D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914DA" id="Rectangle 19" o:spid="_x0000_s1026" style="position:absolute;margin-left:-2.55pt;margin-top:10.15pt;width:466.55pt;height: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" fillcolor="#223d84" stroked="f" strokeweight="2pt"/>
          </w:pict>
        </mc:Fallback>
      </mc:AlternateContent>
    </w:r>
  </w:p>
  <w:p w:rsidR="001147C6" w:rsidRPr="00192B74" w:rsidRDefault="001147C6" w:rsidP="001147C6">
    <w:pPr>
      <w:pStyle w:val="Footer"/>
      <w:jc w:val="center"/>
      <w:rPr>
        <w:rFonts w:cs="Arial"/>
        <w:color w:val="0D0D0D" w:themeColor="text1" w:themeTint="F2"/>
      </w:rPr>
    </w:pPr>
    <w:r w:rsidRPr="00192B74">
      <w:rPr>
        <w:rFonts w:cs="Arial"/>
        <w:color w:val="0D0D0D" w:themeColor="text1" w:themeTint="F2"/>
      </w:rPr>
      <w:t>www.pt-sche.metropolitan.ac.rs</w:t>
    </w:r>
  </w:p>
  <w:p w:rsidR="00FC381E" w:rsidRDefault="00FC381E" w:rsidP="00FC381E">
    <w:pPr>
      <w:pStyle w:val="Footer"/>
      <w:jc w:val="center"/>
    </w:pPr>
  </w:p>
  <w:p w:rsidR="00FC381E" w:rsidRDefault="00FC38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366" w:rsidRDefault="007C6366" w:rsidP="006225E7">
      <w:pPr>
        <w:spacing w:after="0" w:line="240" w:lineRule="auto"/>
      </w:pPr>
      <w:r>
        <w:separator/>
      </w:r>
    </w:p>
  </w:footnote>
  <w:footnote w:type="continuationSeparator" w:id="0">
    <w:p w:rsidR="007C6366" w:rsidRDefault="007C6366" w:rsidP="006225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E7" w:rsidRDefault="00D429EA" w:rsidP="006225E7">
    <w:pPr>
      <w:pStyle w:val="Header"/>
      <w:jc w:val="right"/>
    </w:pPr>
    <w:r>
      <w:rPr>
        <w:noProof/>
      </w:rPr>
      <w:drawing>
        <wp:inline distT="0" distB="0" distL="0" distR="0">
          <wp:extent cx="1280160" cy="777240"/>
          <wp:effectExtent l="0" t="0" r="0" b="3810"/>
          <wp:docPr id="14" name="Picture 14" descr="pt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sch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777240"/>
                  </a:xfrm>
                  <a:prstGeom prst="rect">
                    <a:avLst/>
                  </a:prstGeom>
                  <a:noFill/>
                  <a:ln>
                    <a:noFill/>
                  </a:ln>
                </pic:spPr>
              </pic:pic>
            </a:graphicData>
          </a:graphic>
        </wp:inline>
      </w:drawing>
    </w:r>
    <w:r w:rsidR="006225E7">
      <w:tab/>
    </w:r>
    <w:r w:rsidR="006225E7">
      <w:tab/>
      <w:t xml:space="preserve"> </w:t>
    </w:r>
    <w:r w:rsidR="006225E7">
      <w:rPr>
        <w:noProof/>
      </w:rPr>
      <w:drawing>
        <wp:inline distT="0" distB="0" distL="0" distR="0" wp14:anchorId="00899766" wp14:editId="3981D150">
          <wp:extent cx="1990725" cy="594674"/>
          <wp:effectExtent l="0" t="0" r="0" b="0"/>
          <wp:docPr id="18" name="Picture 18" descr="http://spu.fem.uniag.sk/Elena.Horska/foodcost/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u.fem.uniag.sk/Elena.Horska/foodcost/Erasmu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312" cy="597538"/>
                  </a:xfrm>
                  <a:prstGeom prst="rect">
                    <a:avLst/>
                  </a:prstGeom>
                  <a:noFill/>
                  <a:ln>
                    <a:noFill/>
                  </a:ln>
                </pic:spPr>
              </pic:pic>
            </a:graphicData>
          </a:graphic>
        </wp:inline>
      </w:drawing>
    </w:r>
  </w:p>
  <w:p w:rsidR="006225E7" w:rsidRDefault="006225E7" w:rsidP="006225E7">
    <w:pPr>
      <w:pStyle w:val="Header"/>
      <w:jc w:val="right"/>
    </w:pPr>
  </w:p>
  <w:p w:rsidR="006225E7" w:rsidRDefault="003F09A5">
    <w:pPr>
      <w:pStyle w:val="Header"/>
    </w:pPr>
    <w:r w:rsidRPr="00192B74">
      <w:rPr>
        <w:rFonts w:cs="Arial"/>
        <w:noProof/>
        <w:color w:val="0D0D0D" w:themeColor="text1" w:themeTint="F2"/>
      </w:rPr>
      <mc:AlternateContent>
        <mc:Choice Requires="wps">
          <w:drawing>
            <wp:anchor distT="0" distB="0" distL="114300" distR="114300" simplePos="0" relativeHeight="251661312" behindDoc="0" locked="0" layoutInCell="1" allowOverlap="1" wp14:anchorId="2C33EC10" wp14:editId="5EF3ED44">
              <wp:simplePos x="0" y="0"/>
              <wp:positionH relativeFrom="column">
                <wp:posOffset>0</wp:posOffset>
              </wp:positionH>
              <wp:positionV relativeFrom="paragraph">
                <wp:posOffset>-635</wp:posOffset>
              </wp:positionV>
              <wp:extent cx="5925312" cy="18288"/>
              <wp:effectExtent l="0" t="0" r="0" b="1270"/>
              <wp:wrapNone/>
              <wp:docPr id="4" name="Rectangle 4"/>
              <wp:cNvGraphicFramePr/>
              <a:graphic xmlns:a="http://schemas.openxmlformats.org/drawingml/2006/main">
                <a:graphicData uri="http://schemas.microsoft.com/office/word/2010/wordprocessingShape">
                  <wps:wsp>
                    <wps:cNvSpPr/>
                    <wps:spPr>
                      <a:xfrm>
                        <a:off x="0" y="0"/>
                        <a:ext cx="5925312" cy="18288"/>
                      </a:xfrm>
                      <a:prstGeom prst="rect">
                        <a:avLst/>
                      </a:prstGeom>
                      <a:solidFill>
                        <a:srgbClr val="223D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87E78" id="Rectangle 4" o:spid="_x0000_s1026" style="position:absolute;margin-left:0;margin-top:-.05pt;width:466.55pt;height: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" fillcolor="#223d84" stroked="f" strokeweight="2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7C6" w:rsidRDefault="001147C6" w:rsidP="001147C6">
    <w:pPr>
      <w:pStyle w:val="Header"/>
      <w:jc w:val="right"/>
    </w:pPr>
    <w:r>
      <w:rPr>
        <w:noProof/>
      </w:rPr>
      <w:drawing>
        <wp:inline distT="0" distB="0" distL="0" distR="0" wp14:anchorId="03DAEDC6" wp14:editId="00E082C0">
          <wp:extent cx="1280160" cy="777240"/>
          <wp:effectExtent l="0" t="0" r="0" b="3810"/>
          <wp:docPr id="21" name="Picture 21" descr="pt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sch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777240"/>
                  </a:xfrm>
                  <a:prstGeom prst="rect">
                    <a:avLst/>
                  </a:prstGeom>
                  <a:noFill/>
                  <a:ln>
                    <a:noFill/>
                  </a:ln>
                </pic:spPr>
              </pic:pic>
            </a:graphicData>
          </a:graphic>
        </wp:inline>
      </w:drawing>
    </w:r>
    <w:r>
      <w:tab/>
    </w:r>
    <w:r>
      <w:tab/>
      <w:t xml:space="preserve"> </w:t>
    </w:r>
    <w:r>
      <w:rPr>
        <w:noProof/>
      </w:rPr>
      <w:drawing>
        <wp:inline distT="0" distB="0" distL="0" distR="0" wp14:anchorId="4004AD9B" wp14:editId="0E84F372">
          <wp:extent cx="1990725" cy="594674"/>
          <wp:effectExtent l="0" t="0" r="0" b="0"/>
          <wp:docPr id="22" name="Picture 22" descr="http://spu.fem.uniag.sk/Elena.Horska/foodcost/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u.fem.uniag.sk/Elena.Horska/foodcost/Erasmu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312" cy="597538"/>
                  </a:xfrm>
                  <a:prstGeom prst="rect">
                    <a:avLst/>
                  </a:prstGeom>
                  <a:noFill/>
                  <a:ln>
                    <a:noFill/>
                  </a:ln>
                </pic:spPr>
              </pic:pic>
            </a:graphicData>
          </a:graphic>
        </wp:inline>
      </w:drawing>
    </w:r>
  </w:p>
  <w:p w:rsidR="001147C6" w:rsidRDefault="001147C6" w:rsidP="001147C6">
    <w:pPr>
      <w:pStyle w:val="Header"/>
      <w:jc w:val="right"/>
    </w:pPr>
  </w:p>
  <w:p w:rsidR="001147C6" w:rsidRDefault="001147C6">
    <w:pPr>
      <w:pStyle w:val="Header"/>
    </w:pPr>
    <w:r w:rsidRPr="00192B74">
      <w:rPr>
        <w:rFonts w:cs="Arial"/>
        <w:noProof/>
        <w:color w:val="0D0D0D" w:themeColor="text1" w:themeTint="F2"/>
      </w:rPr>
      <mc:AlternateContent>
        <mc:Choice Requires="wps">
          <w:drawing>
            <wp:anchor distT="0" distB="0" distL="114300" distR="114300" simplePos="0" relativeHeight="251667456" behindDoc="0" locked="0" layoutInCell="1" allowOverlap="1" wp14:anchorId="1D7C1D14" wp14:editId="3D7458BD">
              <wp:simplePos x="0" y="0"/>
              <wp:positionH relativeFrom="column">
                <wp:posOffset>0</wp:posOffset>
              </wp:positionH>
              <wp:positionV relativeFrom="paragraph">
                <wp:posOffset>-635</wp:posOffset>
              </wp:positionV>
              <wp:extent cx="5925312" cy="18288"/>
              <wp:effectExtent l="0" t="0" r="0" b="1270"/>
              <wp:wrapNone/>
              <wp:docPr id="20" name="Rectangle 20"/>
              <wp:cNvGraphicFramePr/>
              <a:graphic xmlns:a="http://schemas.openxmlformats.org/drawingml/2006/main">
                <a:graphicData uri="http://schemas.microsoft.com/office/word/2010/wordprocessingShape">
                  <wps:wsp>
                    <wps:cNvSpPr/>
                    <wps:spPr>
                      <a:xfrm>
                        <a:off x="0" y="0"/>
                        <a:ext cx="5925312" cy="18288"/>
                      </a:xfrm>
                      <a:prstGeom prst="rect">
                        <a:avLst/>
                      </a:prstGeom>
                      <a:solidFill>
                        <a:srgbClr val="223D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87056" id="Rectangle 20" o:spid="_x0000_s1026" style="position:absolute;margin-left:0;margin-top:-.05pt;width:466.55pt;height: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" fillcolor="#223d84" stroked="f"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536671"/>
    <w:multiLevelType w:val="hybridMultilevel"/>
    <w:tmpl w:val="A46AFD58"/>
    <w:lvl w:ilvl="0" w:tplc="B22E285E">
      <w:start w:val="1"/>
      <w:numFmt w:val="decimal"/>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3D5A34"/>
    <w:multiLevelType w:val="hybridMultilevel"/>
    <w:tmpl w:val="668EC966"/>
    <w:lvl w:ilvl="0" w:tplc="2980648C">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5E7"/>
    <w:rsid w:val="000209DD"/>
    <w:rsid w:val="0005175E"/>
    <w:rsid w:val="00056D95"/>
    <w:rsid w:val="000A2926"/>
    <w:rsid w:val="000C058E"/>
    <w:rsid w:val="001147C6"/>
    <w:rsid w:val="00141240"/>
    <w:rsid w:val="00146EAE"/>
    <w:rsid w:val="00147BBE"/>
    <w:rsid w:val="00185A67"/>
    <w:rsid w:val="00192B74"/>
    <w:rsid w:val="001A6300"/>
    <w:rsid w:val="001B0033"/>
    <w:rsid w:val="001C2829"/>
    <w:rsid w:val="001E5FB4"/>
    <w:rsid w:val="00226BFA"/>
    <w:rsid w:val="002275E3"/>
    <w:rsid w:val="00232590"/>
    <w:rsid w:val="002425BC"/>
    <w:rsid w:val="00267747"/>
    <w:rsid w:val="002A197D"/>
    <w:rsid w:val="003060DF"/>
    <w:rsid w:val="00353E21"/>
    <w:rsid w:val="0039007E"/>
    <w:rsid w:val="003B00D5"/>
    <w:rsid w:val="003D24FC"/>
    <w:rsid w:val="003D4D19"/>
    <w:rsid w:val="003F09A5"/>
    <w:rsid w:val="0041460A"/>
    <w:rsid w:val="00425BD5"/>
    <w:rsid w:val="00497F19"/>
    <w:rsid w:val="004A43C7"/>
    <w:rsid w:val="004B50E7"/>
    <w:rsid w:val="004E267A"/>
    <w:rsid w:val="004F0583"/>
    <w:rsid w:val="00502679"/>
    <w:rsid w:val="00587091"/>
    <w:rsid w:val="005C5887"/>
    <w:rsid w:val="005D0BC5"/>
    <w:rsid w:val="005E1D84"/>
    <w:rsid w:val="005F5429"/>
    <w:rsid w:val="00604601"/>
    <w:rsid w:val="006225E7"/>
    <w:rsid w:val="006A1131"/>
    <w:rsid w:val="006E25CE"/>
    <w:rsid w:val="007121EC"/>
    <w:rsid w:val="0072199E"/>
    <w:rsid w:val="00726D41"/>
    <w:rsid w:val="00747C7E"/>
    <w:rsid w:val="00755910"/>
    <w:rsid w:val="00761A68"/>
    <w:rsid w:val="007C6366"/>
    <w:rsid w:val="007D7CE3"/>
    <w:rsid w:val="007F172A"/>
    <w:rsid w:val="007F6D1F"/>
    <w:rsid w:val="00803480"/>
    <w:rsid w:val="00894D44"/>
    <w:rsid w:val="008E2D1B"/>
    <w:rsid w:val="008E4FD1"/>
    <w:rsid w:val="00920F01"/>
    <w:rsid w:val="0093238F"/>
    <w:rsid w:val="00945C9D"/>
    <w:rsid w:val="009511AB"/>
    <w:rsid w:val="00954C5B"/>
    <w:rsid w:val="009558F1"/>
    <w:rsid w:val="00975A9F"/>
    <w:rsid w:val="00975B04"/>
    <w:rsid w:val="00994671"/>
    <w:rsid w:val="009D093C"/>
    <w:rsid w:val="009D0E64"/>
    <w:rsid w:val="009F0BEB"/>
    <w:rsid w:val="00A05C8B"/>
    <w:rsid w:val="00AB5118"/>
    <w:rsid w:val="00AE1A74"/>
    <w:rsid w:val="00B26A9C"/>
    <w:rsid w:val="00B55375"/>
    <w:rsid w:val="00BF76BE"/>
    <w:rsid w:val="00C01C5C"/>
    <w:rsid w:val="00C039EF"/>
    <w:rsid w:val="00C150B8"/>
    <w:rsid w:val="00C31213"/>
    <w:rsid w:val="00C563EF"/>
    <w:rsid w:val="00C7151E"/>
    <w:rsid w:val="00C813CE"/>
    <w:rsid w:val="00CA0D8E"/>
    <w:rsid w:val="00D21C5B"/>
    <w:rsid w:val="00D429EA"/>
    <w:rsid w:val="00D63A45"/>
    <w:rsid w:val="00DA4401"/>
    <w:rsid w:val="00DA5AA4"/>
    <w:rsid w:val="00DD74A1"/>
    <w:rsid w:val="00E00C3B"/>
    <w:rsid w:val="00E60844"/>
    <w:rsid w:val="00E810D0"/>
    <w:rsid w:val="00E87EDD"/>
    <w:rsid w:val="00EB4DE5"/>
    <w:rsid w:val="00F1199A"/>
    <w:rsid w:val="00F16275"/>
    <w:rsid w:val="00F40B7F"/>
    <w:rsid w:val="00F71192"/>
    <w:rsid w:val="00FC381E"/>
    <w:rsid w:val="00FC76D5"/>
    <w:rsid w:val="00FD6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5F8425-E590-42AD-9E86-1A3943525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B74"/>
    <w:rPr>
      <w:rFonts w:ascii="Arial" w:hAnsi="Arial"/>
    </w:rPr>
  </w:style>
  <w:style w:type="paragraph" w:styleId="Heading1">
    <w:name w:val="heading 1"/>
    <w:aliases w:val="PT&amp;SCHE Heading 1"/>
    <w:basedOn w:val="Normal"/>
    <w:next w:val="Normal"/>
    <w:link w:val="Heading1Char"/>
    <w:uiPriority w:val="9"/>
    <w:qFormat/>
    <w:rsid w:val="00267747"/>
    <w:pPr>
      <w:keepNext/>
      <w:keepLines/>
      <w:numPr>
        <w:numId w:val="1"/>
      </w:numPr>
      <w:spacing w:before="480" w:after="360"/>
      <w:ind w:left="0" w:firstLine="0"/>
      <w:outlineLvl w:val="0"/>
    </w:pPr>
    <w:rPr>
      <w:rFonts w:eastAsiaTheme="majorEastAsia" w:cstheme="majorBidi"/>
      <w:b/>
      <w:bCs/>
      <w:color w:val="0D0D0D" w:themeColor="text1" w:themeTint="F2"/>
      <w:sz w:val="36"/>
      <w:szCs w:val="28"/>
    </w:rPr>
  </w:style>
  <w:style w:type="paragraph" w:styleId="Heading2">
    <w:name w:val="heading 2"/>
    <w:aliases w:val="PT&amp;SCHE Heading 2"/>
    <w:basedOn w:val="Normal"/>
    <w:next w:val="Normal"/>
    <w:link w:val="Heading2Char"/>
    <w:uiPriority w:val="9"/>
    <w:unhideWhenUsed/>
    <w:qFormat/>
    <w:rsid w:val="00B26A9C"/>
    <w:pPr>
      <w:keepNext/>
      <w:keepLines/>
      <w:numPr>
        <w:numId w:val="2"/>
      </w:numPr>
      <w:spacing w:before="120" w:after="120" w:line="360" w:lineRule="auto"/>
      <w:ind w:left="0" w:firstLine="0"/>
      <w:outlineLvl w:val="1"/>
    </w:pPr>
    <w:rPr>
      <w:rFonts w:eastAsiaTheme="majorEastAsia" w:cstheme="majorBidi"/>
      <w:b/>
      <w:bCs/>
      <w:color w:val="0D0D0D" w:themeColor="text1" w:themeTint="F2"/>
      <w:sz w:val="28"/>
      <w:szCs w:val="26"/>
    </w:rPr>
  </w:style>
  <w:style w:type="paragraph" w:styleId="Heading3">
    <w:name w:val="heading 3"/>
    <w:aliases w:val="PT&amp;SCHE Heading 3"/>
    <w:basedOn w:val="Normal"/>
    <w:next w:val="Normal"/>
    <w:link w:val="Heading3Char"/>
    <w:uiPriority w:val="9"/>
    <w:unhideWhenUsed/>
    <w:qFormat/>
    <w:rsid w:val="00267747"/>
    <w:pPr>
      <w:keepNext/>
      <w:keepLines/>
      <w:spacing w:before="40" w:after="0"/>
      <w:outlineLvl w:val="2"/>
    </w:pPr>
    <w:rPr>
      <w:rFonts w:eastAsiaTheme="majorEastAsia"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BD5"/>
    <w:pPr>
      <w:spacing w:after="0" w:line="240" w:lineRule="auto"/>
    </w:pPr>
    <w:rPr>
      <w:rFonts w:ascii="Myriad Pro" w:hAnsi="Myriad P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0000"/>
      </w:rPr>
    </w:tblStylePr>
  </w:style>
  <w:style w:type="table" w:customStyle="1" w:styleId="MetPredmeti">
    <w:name w:val="MetPredmeti"/>
    <w:basedOn w:val="TableNormal"/>
    <w:rsid w:val="00C039EF"/>
    <w:pPr>
      <w:spacing w:after="0" w:line="240" w:lineRule="auto"/>
    </w:pPr>
    <w:rPr>
      <w:rFonts w:ascii="Arial" w:eastAsia="Times New Roman" w:hAnsi="Arial" w:cs="Times New Roman"/>
      <w:sz w:val="20"/>
      <w:szCs w:val="20"/>
    </w:rPr>
    <w:tblPr/>
    <w:tcPr>
      <w:vAlign w:val="center"/>
    </w:tcPr>
  </w:style>
  <w:style w:type="paragraph" w:styleId="Header">
    <w:name w:val="header"/>
    <w:basedOn w:val="Normal"/>
    <w:link w:val="HeaderChar"/>
    <w:uiPriority w:val="99"/>
    <w:unhideWhenUsed/>
    <w:rsid w:val="006225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25E7"/>
  </w:style>
  <w:style w:type="paragraph" w:styleId="Footer">
    <w:name w:val="footer"/>
    <w:basedOn w:val="Normal"/>
    <w:link w:val="FooterChar"/>
    <w:uiPriority w:val="99"/>
    <w:unhideWhenUsed/>
    <w:rsid w:val="006225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5E7"/>
  </w:style>
  <w:style w:type="paragraph" w:styleId="BalloonText">
    <w:name w:val="Balloon Text"/>
    <w:basedOn w:val="Normal"/>
    <w:link w:val="BalloonTextChar"/>
    <w:uiPriority w:val="99"/>
    <w:semiHidden/>
    <w:unhideWhenUsed/>
    <w:rsid w:val="006225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5E7"/>
    <w:rPr>
      <w:rFonts w:ascii="Tahoma" w:hAnsi="Tahoma" w:cs="Tahoma"/>
      <w:sz w:val="16"/>
      <w:szCs w:val="16"/>
    </w:rPr>
  </w:style>
  <w:style w:type="character" w:customStyle="1" w:styleId="Heading1Char">
    <w:name w:val="Heading 1 Char"/>
    <w:aliases w:val="PT&amp;SCHE Heading 1 Char"/>
    <w:basedOn w:val="DefaultParagraphFont"/>
    <w:link w:val="Heading1"/>
    <w:uiPriority w:val="9"/>
    <w:rsid w:val="00267747"/>
    <w:rPr>
      <w:rFonts w:ascii="Arial" w:eastAsiaTheme="majorEastAsia" w:hAnsi="Arial" w:cstheme="majorBidi"/>
      <w:b/>
      <w:bCs/>
      <w:color w:val="0D0D0D" w:themeColor="text1" w:themeTint="F2"/>
      <w:sz w:val="36"/>
      <w:szCs w:val="28"/>
    </w:rPr>
  </w:style>
  <w:style w:type="character" w:styleId="Strong">
    <w:name w:val="Strong"/>
    <w:basedOn w:val="DefaultParagraphFont"/>
    <w:uiPriority w:val="22"/>
    <w:qFormat/>
    <w:rsid w:val="006225E7"/>
    <w:rPr>
      <w:b/>
      <w:bCs/>
    </w:rPr>
  </w:style>
  <w:style w:type="character" w:customStyle="1" w:styleId="apple-converted-space">
    <w:name w:val="apple-converted-space"/>
    <w:basedOn w:val="DefaultParagraphFont"/>
    <w:rsid w:val="006225E7"/>
  </w:style>
  <w:style w:type="character" w:customStyle="1" w:styleId="Heading2Char">
    <w:name w:val="Heading 2 Char"/>
    <w:aliases w:val="PT&amp;SCHE Heading 2 Char"/>
    <w:basedOn w:val="DefaultParagraphFont"/>
    <w:link w:val="Heading2"/>
    <w:uiPriority w:val="9"/>
    <w:rsid w:val="00B26A9C"/>
    <w:rPr>
      <w:rFonts w:ascii="Arial" w:eastAsiaTheme="majorEastAsia" w:hAnsi="Arial" w:cstheme="majorBidi"/>
      <w:b/>
      <w:bCs/>
      <w:color w:val="0D0D0D" w:themeColor="text1" w:themeTint="F2"/>
      <w:sz w:val="28"/>
      <w:szCs w:val="26"/>
    </w:rPr>
  </w:style>
  <w:style w:type="character" w:styleId="Hyperlink">
    <w:name w:val="Hyperlink"/>
    <w:basedOn w:val="DefaultParagraphFont"/>
    <w:uiPriority w:val="99"/>
    <w:unhideWhenUsed/>
    <w:rsid w:val="00D429EA"/>
    <w:rPr>
      <w:color w:val="0000FF" w:themeColor="hyperlink"/>
      <w:u w:val="single"/>
    </w:rPr>
  </w:style>
  <w:style w:type="paragraph" w:customStyle="1" w:styleId="IF4TMtable">
    <w:name w:val="IF4TM table"/>
    <w:basedOn w:val="Normal"/>
    <w:qFormat/>
    <w:rsid w:val="00D429EA"/>
    <w:pPr>
      <w:spacing w:after="0" w:line="240" w:lineRule="auto"/>
    </w:pPr>
    <w:rPr>
      <w:rFonts w:eastAsia="Calibri" w:cs="Arial"/>
      <w:sz w:val="20"/>
      <w:lang w:eastAsia="de-DE"/>
    </w:rPr>
  </w:style>
  <w:style w:type="paragraph" w:customStyle="1" w:styleId="IF4TMheader">
    <w:name w:val="IF4TM_header"/>
    <w:basedOn w:val="IF4TMtable"/>
    <w:qFormat/>
    <w:rsid w:val="00D429EA"/>
    <w:pPr>
      <w:pBdr>
        <w:bottom w:val="single" w:sz="4" w:space="1" w:color="auto"/>
      </w:pBdr>
      <w:jc w:val="center"/>
    </w:pPr>
    <w:rPr>
      <w:sz w:val="28"/>
    </w:rPr>
  </w:style>
  <w:style w:type="paragraph" w:styleId="TOCHeading">
    <w:name w:val="TOC Heading"/>
    <w:basedOn w:val="Heading1"/>
    <w:next w:val="Normal"/>
    <w:uiPriority w:val="39"/>
    <w:unhideWhenUsed/>
    <w:qFormat/>
    <w:rsid w:val="00994671"/>
    <w:pPr>
      <w:spacing w:before="240" w:after="0" w:line="259" w:lineRule="auto"/>
      <w:outlineLvl w:val="9"/>
    </w:pPr>
    <w:rPr>
      <w:rFonts w:asciiTheme="majorHAnsi" w:hAnsiTheme="majorHAnsi"/>
      <w:b w:val="0"/>
      <w:bCs w:val="0"/>
      <w:color w:val="365F91" w:themeColor="accent1" w:themeShade="BF"/>
      <w:sz w:val="32"/>
      <w:szCs w:val="32"/>
    </w:rPr>
  </w:style>
  <w:style w:type="character" w:customStyle="1" w:styleId="Heading3Char">
    <w:name w:val="Heading 3 Char"/>
    <w:aliases w:val="PT&amp;SCHE Heading 3 Char"/>
    <w:basedOn w:val="DefaultParagraphFont"/>
    <w:link w:val="Heading3"/>
    <w:uiPriority w:val="9"/>
    <w:rsid w:val="00267747"/>
    <w:rPr>
      <w:rFonts w:ascii="Arial" w:eastAsiaTheme="majorEastAsia" w:hAnsi="Arial" w:cstheme="majorBidi"/>
      <w:sz w:val="24"/>
      <w:szCs w:val="24"/>
    </w:rPr>
  </w:style>
  <w:style w:type="paragraph" w:styleId="TOC1">
    <w:name w:val="toc 1"/>
    <w:basedOn w:val="Normal"/>
    <w:next w:val="Normal"/>
    <w:autoRedefine/>
    <w:uiPriority w:val="39"/>
    <w:unhideWhenUsed/>
    <w:rsid w:val="00954C5B"/>
    <w:pPr>
      <w:spacing w:after="100"/>
    </w:pPr>
  </w:style>
  <w:style w:type="paragraph" w:styleId="TOC2">
    <w:name w:val="toc 2"/>
    <w:basedOn w:val="Normal"/>
    <w:next w:val="Normal"/>
    <w:autoRedefine/>
    <w:uiPriority w:val="39"/>
    <w:unhideWhenUsed/>
    <w:rsid w:val="00954C5B"/>
    <w:pPr>
      <w:spacing w:after="100"/>
      <w:ind w:left="220"/>
    </w:pPr>
  </w:style>
  <w:style w:type="paragraph" w:styleId="TOC3">
    <w:name w:val="toc 3"/>
    <w:basedOn w:val="Normal"/>
    <w:next w:val="Normal"/>
    <w:autoRedefine/>
    <w:uiPriority w:val="39"/>
    <w:unhideWhenUsed/>
    <w:rsid w:val="00954C5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11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eacea.ec.europa.eu/education/eurydice/documents/thematic_reports/182EN.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eurashe.eu/library/l5_report_sche_in_europe_full_report_jan2011-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utsekoda.ee/en/kutsesysteem/tutvustus/kutsestandardid_eng" TargetMode="External"/><Relationship Id="rId20" Type="http://schemas.openxmlformats.org/officeDocument/2006/relationships/hyperlink" Target="https://ec.europa.eu/ploteus/en/compa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kutsekoda.ee/fwk/contenthelper/10445708/10445709" TargetMode="External"/><Relationship Id="rId23"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hyperlink" Target="http://www.mizs.gov.si/fileadmin/mizs.gov.si/pageuploads/ANG/Organisation_and_Financing_of_Education_Act_Dec_2015.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48786-DABA-4EE2-A6CF-306EEFE47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4837</Words>
  <Characters>27576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mladen.radic</dc:creator>
  <cp:lastModifiedBy>Bojana Trebinjac</cp:lastModifiedBy>
  <cp:revision>12</cp:revision>
  <dcterms:created xsi:type="dcterms:W3CDTF">2019-04-05T12:54:00Z</dcterms:created>
  <dcterms:modified xsi:type="dcterms:W3CDTF">2019-04-06T10:03:00Z</dcterms:modified>
</cp:coreProperties>
</file>