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CC3C4" w14:textId="2EF3556A" w:rsidR="007601FB" w:rsidRDefault="007601FB" w:rsidP="007601FB">
      <w:pPr>
        <w:rPr>
          <w:lang w:val="sr"/>
        </w:rPr>
      </w:pPr>
    </w:p>
    <w:p w14:paraId="08CF07A7" w14:textId="77777777" w:rsidR="007601FB" w:rsidRPr="00EC6EA5" w:rsidRDefault="007601FB" w:rsidP="007601FB">
      <w:pPr>
        <w:jc w:val="center"/>
        <w:rPr>
          <w:rFonts w:eastAsia="Calibri" w:cs="Arial"/>
          <w:b/>
          <w:lang w:eastAsia="de-DE"/>
        </w:rPr>
      </w:pPr>
      <w:r w:rsidRPr="00EC6EA5">
        <w:rPr>
          <w:rFonts w:eastAsia="Calibri" w:cs="Arial"/>
          <w:b/>
          <w:lang w:eastAsia="de-DE"/>
        </w:rPr>
        <w:t>Act.WP2.5 Recommended policies</w:t>
      </w:r>
      <w:r w:rsidRPr="00EC6EA5">
        <w:rPr>
          <w:rFonts w:eastAsia="Calibri" w:cs="Arial"/>
          <w:b/>
          <w:lang w:eastAsia="de-DE"/>
        </w:rPr>
        <w:br w:type="textWrapping" w:clear="all"/>
      </w:r>
    </w:p>
    <w:p w14:paraId="09655628" w14:textId="77777777" w:rsidR="007601FB" w:rsidRDefault="007601FB" w:rsidP="007601FB">
      <w:pPr>
        <w:jc w:val="center"/>
        <w:rPr>
          <w:rFonts w:eastAsia="Calibri" w:cs="Arial"/>
          <w:b/>
          <w:lang w:eastAsia="de-DE"/>
        </w:rPr>
      </w:pPr>
    </w:p>
    <w:p w14:paraId="0FA6F0C2" w14:textId="77777777" w:rsidR="007601FB" w:rsidRDefault="007601FB" w:rsidP="007601FB">
      <w:pPr>
        <w:jc w:val="center"/>
        <w:rPr>
          <w:rFonts w:eastAsia="Calibri" w:cs="Arial"/>
          <w:b/>
          <w:lang w:eastAsia="de-DE"/>
        </w:rPr>
      </w:pPr>
    </w:p>
    <w:p w14:paraId="126F0D1C" w14:textId="77777777" w:rsidR="007601FB" w:rsidRPr="000510FE" w:rsidRDefault="007601FB" w:rsidP="007601FB">
      <w:pPr>
        <w:jc w:val="center"/>
        <w:rPr>
          <w:rFonts w:eastAsia="Calibri" w:cs="Arial"/>
          <w:b/>
          <w:lang w:eastAsia="de-DE"/>
        </w:rPr>
      </w:pPr>
    </w:p>
    <w:p w14:paraId="49569B5A" w14:textId="77777777" w:rsidR="007601FB" w:rsidRPr="000510FE" w:rsidRDefault="007601FB" w:rsidP="007601FB">
      <w:pPr>
        <w:jc w:val="center"/>
        <w:rPr>
          <w:rFonts w:eastAsia="Calibri" w:cs="Arial"/>
          <w:b/>
          <w:lang w:val="en-GB" w:eastAsia="de-DE"/>
        </w:rPr>
      </w:pPr>
    </w:p>
    <w:p w14:paraId="1A929DAB" w14:textId="77777777" w:rsidR="007601FB" w:rsidRPr="00B30774" w:rsidRDefault="007601FB" w:rsidP="007601FB">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B30774">
        <w:rPr>
          <w:rFonts w:eastAsia="Calibri" w:cs="Arial"/>
          <w:b/>
          <w:sz w:val="28"/>
          <w:szCs w:val="28"/>
          <w:lang w:val="en-GB" w:eastAsia="de-DE"/>
        </w:rPr>
        <w:t>Draft</w:t>
      </w:r>
    </w:p>
    <w:p w14:paraId="05B77806" w14:textId="079B15EE" w:rsidR="007601FB" w:rsidRDefault="007601FB" w:rsidP="007601FB">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Pr>
          <w:rFonts w:eastAsia="Calibri" w:cs="Arial"/>
          <w:b/>
          <w:sz w:val="28"/>
          <w:szCs w:val="28"/>
          <w:lang w:val="en-GB" w:eastAsia="de-DE"/>
        </w:rPr>
        <w:t>Recommendations f</w:t>
      </w:r>
      <w:r>
        <w:rPr>
          <w:rFonts w:eastAsia="Calibri" w:cs="Arial"/>
          <w:b/>
          <w:sz w:val="28"/>
          <w:szCs w:val="28"/>
          <w:lang w:val="en-GB" w:eastAsia="de-DE"/>
        </w:rPr>
        <w:t>o</w:t>
      </w:r>
      <w:r>
        <w:rPr>
          <w:rFonts w:eastAsia="Calibri" w:cs="Arial"/>
          <w:b/>
          <w:sz w:val="28"/>
          <w:szCs w:val="28"/>
          <w:lang w:val="en-GB" w:eastAsia="de-DE"/>
        </w:rPr>
        <w:t>r</w:t>
      </w:r>
      <w:r>
        <w:rPr>
          <w:rFonts w:eastAsia="Calibri" w:cs="Arial"/>
          <w:b/>
          <w:sz w:val="28"/>
          <w:szCs w:val="28"/>
          <w:lang w:val="en-GB" w:eastAsia="de-DE"/>
        </w:rPr>
        <w:t xml:space="preserve"> Statutory Specification of </w:t>
      </w:r>
      <w:r>
        <w:rPr>
          <w:rFonts w:eastAsia="Calibri" w:cs="Arial"/>
          <w:b/>
          <w:sz w:val="28"/>
          <w:szCs w:val="28"/>
          <w:lang w:val="en-GB" w:eastAsia="de-DE"/>
        </w:rPr>
        <w:t>SCHE</w:t>
      </w:r>
    </w:p>
    <w:p w14:paraId="6A843BEB" w14:textId="77777777" w:rsidR="007601FB" w:rsidRPr="000510FE" w:rsidRDefault="007601FB" w:rsidP="007601FB">
      <w:pPr>
        <w:pBdr>
          <w:top w:val="single" w:sz="4" w:space="2" w:color="auto"/>
          <w:left w:val="single" w:sz="4" w:space="4" w:color="auto"/>
          <w:bottom w:val="single" w:sz="4" w:space="1" w:color="auto"/>
          <w:right w:val="single" w:sz="4" w:space="4" w:color="auto"/>
        </w:pBdr>
        <w:jc w:val="center"/>
        <w:rPr>
          <w:rFonts w:eastAsia="Calibri" w:cs="Arial"/>
          <w:b/>
          <w:lang w:val="en-GB" w:eastAsia="de-DE"/>
        </w:rPr>
      </w:pPr>
      <w:r w:rsidRPr="00EC6EA5">
        <w:rPr>
          <w:rFonts w:eastAsia="Calibri" w:cs="Arial"/>
          <w:b/>
          <w:sz w:val="28"/>
          <w:szCs w:val="28"/>
          <w:lang w:val="en-GB" w:eastAsia="de-DE"/>
        </w:rPr>
        <w:t xml:space="preserve"> (in Serbian)</w:t>
      </w:r>
    </w:p>
    <w:p w14:paraId="6DFB99FC" w14:textId="77777777" w:rsidR="007601FB" w:rsidRDefault="007601FB" w:rsidP="007601FB">
      <w:pPr>
        <w:rPr>
          <w:rFonts w:ascii="Times New Roman" w:eastAsia="Calibri" w:hAnsi="Times New Roman" w:cs="Arial"/>
          <w:b/>
          <w:lang w:val="en-GB" w:eastAsia="de-DE"/>
        </w:rPr>
      </w:pPr>
    </w:p>
    <w:p w14:paraId="684F3CCC" w14:textId="77777777" w:rsidR="007601FB" w:rsidRPr="000510FE" w:rsidRDefault="007601FB" w:rsidP="007601FB">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7601FB" w:rsidRPr="000510FE" w14:paraId="11ABEF81" w14:textId="77777777" w:rsidTr="0005138C">
        <w:trPr>
          <w:trHeight w:val="230"/>
          <w:jc w:val="center"/>
        </w:trPr>
        <w:tc>
          <w:tcPr>
            <w:tcW w:w="2476" w:type="dxa"/>
            <w:shd w:val="clear" w:color="auto" w:fill="BFBFBF"/>
            <w:vAlign w:val="center"/>
          </w:tcPr>
          <w:p w14:paraId="42DC5FCF" w14:textId="77777777" w:rsidR="007601FB" w:rsidRPr="00945C9D" w:rsidRDefault="007601FB" w:rsidP="0005138C">
            <w:pPr>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1B547226" w14:textId="77777777" w:rsidR="007601FB" w:rsidRPr="00945C9D" w:rsidRDefault="007601FB" w:rsidP="0005138C">
            <w:pPr>
              <w:rPr>
                <w:rFonts w:cs="Arial"/>
                <w:sz w:val="20"/>
                <w:szCs w:val="20"/>
                <w:lang w:val="en-GB"/>
              </w:rPr>
            </w:pPr>
            <w:r w:rsidRPr="00945C9D">
              <w:rPr>
                <w:rFonts w:cs="Arial"/>
                <w:sz w:val="20"/>
                <w:szCs w:val="20"/>
                <w:lang w:val="en-GB"/>
              </w:rPr>
              <w:t xml:space="preserve">PT&amp;SCHE </w:t>
            </w:r>
          </w:p>
        </w:tc>
      </w:tr>
      <w:tr w:rsidR="007601FB" w:rsidRPr="000510FE" w14:paraId="2AFF3F33" w14:textId="77777777" w:rsidTr="0005138C">
        <w:trPr>
          <w:jc w:val="center"/>
        </w:trPr>
        <w:tc>
          <w:tcPr>
            <w:tcW w:w="2476" w:type="dxa"/>
            <w:shd w:val="clear" w:color="auto" w:fill="BFBFBF"/>
            <w:vAlign w:val="center"/>
          </w:tcPr>
          <w:p w14:paraId="0C0FD739" w14:textId="77777777" w:rsidR="007601FB" w:rsidRPr="00945C9D" w:rsidRDefault="007601FB" w:rsidP="0005138C">
            <w:pPr>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56C05164" w14:textId="77777777" w:rsidR="007601FB" w:rsidRPr="00945C9D" w:rsidRDefault="007601FB" w:rsidP="0005138C">
            <w:pPr>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7601FB" w:rsidRPr="000510FE" w14:paraId="4B4788B1" w14:textId="77777777" w:rsidTr="0005138C">
        <w:trPr>
          <w:jc w:val="center"/>
        </w:trPr>
        <w:tc>
          <w:tcPr>
            <w:tcW w:w="2476" w:type="dxa"/>
            <w:shd w:val="clear" w:color="auto" w:fill="BFBFBF"/>
            <w:vAlign w:val="center"/>
          </w:tcPr>
          <w:p w14:paraId="1D284126" w14:textId="77777777" w:rsidR="007601FB" w:rsidRPr="00945C9D" w:rsidRDefault="007601FB" w:rsidP="0005138C">
            <w:pPr>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2C581C6F" w14:textId="77777777" w:rsidR="007601FB" w:rsidRPr="00945C9D" w:rsidRDefault="007601FB" w:rsidP="0005138C">
            <w:pPr>
              <w:rPr>
                <w:rFonts w:cs="Arial"/>
                <w:sz w:val="20"/>
                <w:szCs w:val="20"/>
                <w:lang w:val="en-GB" w:eastAsia="hu-HU"/>
              </w:rPr>
            </w:pPr>
            <w:r w:rsidRPr="00994671">
              <w:rPr>
                <w:rFonts w:cs="Arial"/>
                <w:sz w:val="20"/>
                <w:szCs w:val="20"/>
                <w:lang w:val="en-GB"/>
              </w:rPr>
              <w:t>561868-EPP-1-2015-1-EE-EPPKA2-CBHE-SP</w:t>
            </w:r>
          </w:p>
        </w:tc>
      </w:tr>
      <w:tr w:rsidR="007601FB" w:rsidRPr="000510FE" w14:paraId="735EBF41" w14:textId="77777777" w:rsidTr="0005138C">
        <w:trPr>
          <w:jc w:val="center"/>
        </w:trPr>
        <w:tc>
          <w:tcPr>
            <w:tcW w:w="2476" w:type="dxa"/>
            <w:shd w:val="clear" w:color="auto" w:fill="BFBFBF"/>
            <w:vAlign w:val="center"/>
          </w:tcPr>
          <w:p w14:paraId="1253DB40" w14:textId="77777777" w:rsidR="007601FB" w:rsidRPr="00945C9D" w:rsidRDefault="007601FB" w:rsidP="0005138C">
            <w:pPr>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360EDDC6" w14:textId="77777777" w:rsidR="007601FB" w:rsidRPr="00945C9D" w:rsidRDefault="007601FB" w:rsidP="0005138C">
            <w:pPr>
              <w:rPr>
                <w:rFonts w:cs="Arial"/>
                <w:sz w:val="20"/>
                <w:szCs w:val="20"/>
                <w:lang w:val="en-GB" w:eastAsia="hu-HU"/>
              </w:rPr>
            </w:pPr>
            <w:r w:rsidRPr="00945C9D">
              <w:rPr>
                <w:rFonts w:cs="Arial"/>
                <w:sz w:val="20"/>
                <w:szCs w:val="20"/>
                <w:lang w:val="en-GB"/>
              </w:rPr>
              <w:t>ERASMUS+</w:t>
            </w:r>
          </w:p>
        </w:tc>
      </w:tr>
      <w:tr w:rsidR="007601FB" w:rsidRPr="000510FE" w14:paraId="263E3359" w14:textId="77777777" w:rsidTr="0005138C">
        <w:trPr>
          <w:jc w:val="center"/>
        </w:trPr>
        <w:tc>
          <w:tcPr>
            <w:tcW w:w="2476" w:type="dxa"/>
            <w:shd w:val="clear" w:color="auto" w:fill="BFBFBF"/>
            <w:vAlign w:val="center"/>
          </w:tcPr>
          <w:p w14:paraId="14DC2803" w14:textId="77777777" w:rsidR="007601FB" w:rsidRPr="00945C9D" w:rsidRDefault="007601FB" w:rsidP="0005138C">
            <w:pPr>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5CF7B741" w14:textId="77777777" w:rsidR="007601FB" w:rsidRPr="00945C9D" w:rsidRDefault="007601FB" w:rsidP="0005138C">
            <w:pPr>
              <w:rPr>
                <w:rFonts w:cs="Arial"/>
                <w:sz w:val="20"/>
                <w:szCs w:val="20"/>
                <w:highlight w:val="yellow"/>
                <w:lang w:val="en-GB" w:eastAsia="hu-HU"/>
              </w:rPr>
            </w:pPr>
            <w:r w:rsidRPr="00945C9D">
              <w:rPr>
                <w:rFonts w:cs="Arial"/>
                <w:sz w:val="20"/>
                <w:szCs w:val="20"/>
                <w:lang w:val="en-GB" w:eastAsia="hu-HU"/>
              </w:rPr>
              <w:t>Tallinn University, TLU</w:t>
            </w:r>
          </w:p>
        </w:tc>
      </w:tr>
      <w:tr w:rsidR="007601FB" w:rsidRPr="000510FE" w14:paraId="6147C0E1" w14:textId="77777777" w:rsidTr="0005138C">
        <w:trPr>
          <w:jc w:val="center"/>
        </w:trPr>
        <w:tc>
          <w:tcPr>
            <w:tcW w:w="2476" w:type="dxa"/>
            <w:shd w:val="clear" w:color="auto" w:fill="BFBFBF"/>
            <w:vAlign w:val="center"/>
          </w:tcPr>
          <w:p w14:paraId="3B44A50A" w14:textId="77777777" w:rsidR="007601FB" w:rsidRPr="00945C9D" w:rsidRDefault="007601FB" w:rsidP="0005138C">
            <w:pPr>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537C43F4" w14:textId="77777777" w:rsidR="007601FB" w:rsidRPr="00945C9D" w:rsidRDefault="007601FB" w:rsidP="0005138C">
            <w:pPr>
              <w:rPr>
                <w:rFonts w:cs="Arial"/>
                <w:sz w:val="20"/>
                <w:szCs w:val="20"/>
                <w:highlight w:val="yellow"/>
                <w:lang w:val="en-GB" w:eastAsia="hu-HU"/>
              </w:rPr>
            </w:pPr>
            <w:r w:rsidRPr="00EC6EA5">
              <w:rPr>
                <w:rFonts w:cs="Arial"/>
                <w:sz w:val="20"/>
                <w:szCs w:val="20"/>
                <w:lang w:val="en-GB"/>
              </w:rPr>
              <w:t>October 15, 2015</w:t>
            </w:r>
          </w:p>
        </w:tc>
      </w:tr>
      <w:tr w:rsidR="007601FB" w:rsidRPr="000510FE" w14:paraId="6DBA9961" w14:textId="77777777" w:rsidTr="0005138C">
        <w:trPr>
          <w:jc w:val="center"/>
        </w:trPr>
        <w:tc>
          <w:tcPr>
            <w:tcW w:w="2476" w:type="dxa"/>
            <w:shd w:val="clear" w:color="auto" w:fill="BFBFBF"/>
            <w:vAlign w:val="center"/>
          </w:tcPr>
          <w:p w14:paraId="18BF5E65" w14:textId="77777777" w:rsidR="007601FB" w:rsidRPr="00945C9D" w:rsidRDefault="007601FB" w:rsidP="0005138C">
            <w:pPr>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0094F654" w14:textId="77777777" w:rsidR="007601FB" w:rsidRPr="00945C9D" w:rsidRDefault="007601FB" w:rsidP="0005138C">
            <w:pPr>
              <w:rPr>
                <w:rFonts w:cs="Arial"/>
                <w:sz w:val="20"/>
                <w:szCs w:val="20"/>
                <w:highlight w:val="yellow"/>
                <w:lang w:val="en-GB" w:eastAsia="hu-HU"/>
              </w:rPr>
            </w:pPr>
            <w:r w:rsidRPr="00945C9D">
              <w:rPr>
                <w:rFonts w:cs="Arial"/>
                <w:sz w:val="20"/>
                <w:szCs w:val="20"/>
                <w:lang w:val="en-GB"/>
              </w:rPr>
              <w:t>36 months</w:t>
            </w:r>
          </w:p>
        </w:tc>
      </w:tr>
    </w:tbl>
    <w:p w14:paraId="2A9B062B" w14:textId="77777777" w:rsidR="007601FB" w:rsidRDefault="007601FB" w:rsidP="007601FB">
      <w:pPr>
        <w:jc w:val="center"/>
        <w:rPr>
          <w:rFonts w:ascii="Times New Roman" w:eastAsia="Calibri" w:hAnsi="Times New Roman" w:cs="Arial"/>
          <w:b/>
          <w:lang w:val="en-GB" w:eastAsia="de-DE"/>
        </w:rPr>
      </w:pPr>
    </w:p>
    <w:p w14:paraId="18485C3E" w14:textId="77777777" w:rsidR="007601FB" w:rsidRPr="000510FE" w:rsidRDefault="007601FB" w:rsidP="007601FB">
      <w:pPr>
        <w:jc w:val="center"/>
        <w:rPr>
          <w:rFonts w:ascii="Times New Roman" w:eastAsia="Calibri" w:hAnsi="Times New Roman" w:cs="Arial"/>
          <w:b/>
          <w:lang w:val="en-GB" w:eastAsia="de-DE"/>
        </w:rPr>
      </w:pPr>
    </w:p>
    <w:p w14:paraId="2B0767FA" w14:textId="77777777" w:rsidR="007601FB" w:rsidRDefault="007601FB" w:rsidP="007601FB">
      <w:pPr>
        <w:jc w:val="center"/>
        <w:rPr>
          <w:rFonts w:eastAsia="Times New Roman" w:cs="Arial"/>
          <w:bCs/>
          <w:i/>
          <w:sz w:val="20"/>
          <w:lang w:eastAsia="de-DE"/>
        </w:rPr>
      </w:pPr>
      <w:r>
        <w:rPr>
          <w:rFonts w:eastAsia="Times New Roman" w:cs="Arial"/>
          <w:bCs/>
          <w:i/>
          <w:sz w:val="20"/>
          <w:lang w:eastAsia="de-DE"/>
        </w:rPr>
        <w:t>"The European Commission support for the production of this publication does not constitute an endorsement of the contents which reflects the views only of the authors, and the Commission cannot be held responsi</w:t>
      </w:r>
      <w:r>
        <w:rPr>
          <w:rFonts w:eastAsia="Times New Roman" w:cs="Arial"/>
          <w:bCs/>
          <w:i/>
          <w:sz w:val="20"/>
          <w:lang w:eastAsia="de-DE"/>
        </w:rPr>
        <w:softHyphen/>
        <w:t>ble for any use which may be made of the information contained therein."</w:t>
      </w:r>
    </w:p>
    <w:p w14:paraId="562CB72A" w14:textId="77777777" w:rsidR="007601FB" w:rsidRPr="00434EAA" w:rsidRDefault="007601FB" w:rsidP="007601FB">
      <w:pPr>
        <w:jc w:val="center"/>
        <w:rPr>
          <w:rFonts w:ascii="Times New Roman" w:eastAsia="Calibri" w:hAnsi="Times New Roman" w:cs="Arial"/>
          <w:b/>
          <w:lang w:eastAsia="de-DE"/>
        </w:rPr>
      </w:pPr>
    </w:p>
    <w:p w14:paraId="7D15D81F" w14:textId="77777777" w:rsidR="007601FB" w:rsidRPr="000510FE" w:rsidRDefault="007601FB" w:rsidP="007601FB">
      <w:pPr>
        <w:rPr>
          <w:rFonts w:ascii="Times New Roman" w:eastAsia="Calibri" w:hAnsi="Times New Roman" w:cs="Arial"/>
          <w:b/>
          <w:lang w:val="en-GB" w:eastAsia="de-DE"/>
        </w:rPr>
      </w:pPr>
      <w:bookmarkStart w:id="0" w:name="_GoBack"/>
      <w:bookmarkEnd w:id="0"/>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7601FB" w:rsidRPr="000510FE" w14:paraId="075831F6" w14:textId="77777777" w:rsidTr="0005138C">
        <w:trPr>
          <w:trHeight w:val="230"/>
          <w:jc w:val="center"/>
        </w:trPr>
        <w:tc>
          <w:tcPr>
            <w:tcW w:w="2476" w:type="dxa"/>
            <w:shd w:val="clear" w:color="auto" w:fill="BFBFBF" w:themeFill="background1" w:themeFillShade="BF"/>
            <w:vAlign w:val="center"/>
          </w:tcPr>
          <w:p w14:paraId="4A1121BC" w14:textId="77777777" w:rsidR="007601FB" w:rsidRPr="000510FE" w:rsidRDefault="007601FB" w:rsidP="0005138C">
            <w:pPr>
              <w:rPr>
                <w:lang w:val="en-GB"/>
              </w:rPr>
            </w:pPr>
            <w:r w:rsidRPr="000510FE">
              <w:rPr>
                <w:lang w:val="en-GB"/>
              </w:rPr>
              <w:t>Abstract</w:t>
            </w:r>
          </w:p>
          <w:p w14:paraId="0E480889" w14:textId="77777777" w:rsidR="007601FB" w:rsidRPr="000510FE" w:rsidRDefault="007601FB" w:rsidP="0005138C">
            <w:pPr>
              <w:rPr>
                <w:lang w:val="en-GB"/>
              </w:rPr>
            </w:pPr>
          </w:p>
        </w:tc>
        <w:tc>
          <w:tcPr>
            <w:tcW w:w="6704" w:type="dxa"/>
            <w:shd w:val="clear" w:color="auto" w:fill="auto"/>
            <w:vAlign w:val="center"/>
          </w:tcPr>
          <w:p w14:paraId="4EBD1BEE" w14:textId="77777777" w:rsidR="007601FB" w:rsidRDefault="007601FB" w:rsidP="0005138C">
            <w:pPr>
              <w:rPr>
                <w:lang w:val="en-GB"/>
              </w:rPr>
            </w:pPr>
            <w:r>
              <w:rPr>
                <w:lang w:val="en-GB"/>
              </w:rPr>
              <w:t xml:space="preserve">This working document is planned to contribute the development the final deliverable from WP2.5. It provides recommendations for statutory specification of </w:t>
            </w:r>
            <w:r>
              <w:rPr>
                <w:lang w:val="en-GB"/>
              </w:rPr>
              <w:t>SCHE</w:t>
            </w:r>
            <w:r>
              <w:rPr>
                <w:lang w:val="en-GB"/>
              </w:rPr>
              <w:t xml:space="preserve"> </w:t>
            </w:r>
            <w:r>
              <w:rPr>
                <w:lang w:val="en-GB"/>
              </w:rPr>
              <w:t>programme</w:t>
            </w:r>
            <w:r>
              <w:rPr>
                <w:lang w:val="en-GB"/>
              </w:rPr>
              <w:t xml:space="preserve"> that should be introduced in the final deliverable. </w:t>
            </w:r>
          </w:p>
          <w:p w14:paraId="42AB4ECD" w14:textId="764C0C30" w:rsidR="007601FB" w:rsidRDefault="007601FB" w:rsidP="0005138C">
            <w:pPr>
              <w:rPr>
                <w:lang w:val="en-GB"/>
              </w:rPr>
            </w:pPr>
            <w:r>
              <w:rPr>
                <w:lang w:val="en-GB"/>
              </w:rPr>
              <w:t>This documents give recommendation what a atatute of a HEI could specify for SCHE</w:t>
            </w:r>
          </w:p>
          <w:p w14:paraId="7C7C1E12" w14:textId="47E54C42" w:rsidR="007601FB" w:rsidRDefault="007601FB" w:rsidP="0005138C">
            <w:pPr>
              <w:rPr>
                <w:lang w:val="en-GB"/>
              </w:rPr>
            </w:pPr>
            <w:r>
              <w:rPr>
                <w:lang w:val="en-GB"/>
              </w:rPr>
              <w:t>So, this is the base for development of the final deliverable.</w:t>
            </w:r>
          </w:p>
          <w:p w14:paraId="409AA27B" w14:textId="77777777" w:rsidR="007601FB" w:rsidRPr="000510FE" w:rsidRDefault="007601FB" w:rsidP="0005138C">
            <w:pPr>
              <w:rPr>
                <w:lang w:val="en-GB"/>
              </w:rPr>
            </w:pPr>
          </w:p>
        </w:tc>
      </w:tr>
    </w:tbl>
    <w:p w14:paraId="5D8165B5" w14:textId="77777777" w:rsidR="007601FB" w:rsidRDefault="007601FB" w:rsidP="007601FB">
      <w:bookmarkStart w:id="1" w:name="_Toc347927424"/>
      <w:bookmarkStart w:id="2" w:name="_Toc437508904"/>
    </w:p>
    <w:bookmarkEnd w:id="1"/>
    <w:bookmarkEnd w:id="2"/>
    <w:p w14:paraId="4827CB90" w14:textId="77777777" w:rsidR="007601FB" w:rsidRDefault="007601FB" w:rsidP="007601FB">
      <w:pPr>
        <w:rPr>
          <w:rFonts w:eastAsia="Calibri" w:cs="Arial"/>
          <w:bCs/>
          <w:sz w:val="20"/>
          <w:szCs w:val="20"/>
          <w:lang w:val="en-GB" w:eastAsia="de-DE"/>
        </w:rPr>
      </w:pPr>
    </w:p>
    <w:p w14:paraId="39B921FD" w14:textId="77777777" w:rsidR="007601FB" w:rsidRDefault="007601FB" w:rsidP="007601FB"/>
    <w:p w14:paraId="0E59B61D" w14:textId="77777777" w:rsidR="007601FB" w:rsidRDefault="007601FB" w:rsidP="007601FB"/>
    <w:p w14:paraId="22AC29CA" w14:textId="77777777" w:rsidR="007601FB" w:rsidRDefault="007601FB" w:rsidP="007601FB">
      <w:r>
        <w:t xml:space="preserve">VERSIONING AND CONTRIBUTION HISTORY </w:t>
      </w:r>
    </w:p>
    <w:p w14:paraId="41CBE726" w14:textId="77777777" w:rsidR="007601FB" w:rsidRPr="000510FE" w:rsidRDefault="007601FB" w:rsidP="007601FB">
      <w:pPr>
        <w:rPr>
          <w:rFonts w:eastAsia="Calibri" w:cs="Arial"/>
          <w:bCs/>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8"/>
        <w:gridCol w:w="1997"/>
        <w:gridCol w:w="3243"/>
        <w:gridCol w:w="2620"/>
      </w:tblGrid>
      <w:tr w:rsidR="007601FB" w14:paraId="37165213"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66F828F" w14:textId="77777777" w:rsidR="007601FB" w:rsidRDefault="007601FB" w:rsidP="0005138C">
            <w:pPr>
              <w:rPr>
                <w:lang w:val="en-GB"/>
              </w:rPr>
            </w:pPr>
            <w:r>
              <w:rPr>
                <w:lang w:val="en-GB"/>
              </w:rPr>
              <w:t>Version</w:t>
            </w:r>
          </w:p>
        </w:tc>
        <w:tc>
          <w:tcPr>
            <w:tcW w:w="199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EF0750D" w14:textId="77777777" w:rsidR="007601FB" w:rsidRDefault="007601FB" w:rsidP="0005138C">
            <w:pPr>
              <w:rPr>
                <w:lang w:val="en-GB"/>
              </w:rPr>
            </w:pPr>
            <w:r>
              <w:rPr>
                <w:lang w:val="en-GB"/>
              </w:rPr>
              <w:t>Date</w:t>
            </w:r>
          </w:p>
        </w:tc>
        <w:tc>
          <w:tcPr>
            <w:tcW w:w="324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9C74A0B" w14:textId="77777777" w:rsidR="007601FB" w:rsidRDefault="007601FB" w:rsidP="0005138C">
            <w:pPr>
              <w:rPr>
                <w:lang w:val="en-GB"/>
              </w:rPr>
            </w:pPr>
            <w:r>
              <w:rPr>
                <w:lang w:val="en-GB"/>
              </w:rPr>
              <w:t>Revision Description</w:t>
            </w:r>
          </w:p>
        </w:tc>
        <w:tc>
          <w:tcPr>
            <w:tcW w:w="26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D704510" w14:textId="77777777" w:rsidR="007601FB" w:rsidRDefault="007601FB" w:rsidP="0005138C">
            <w:pPr>
              <w:rPr>
                <w:lang w:val="en-GB"/>
              </w:rPr>
            </w:pPr>
            <w:r>
              <w:rPr>
                <w:lang w:val="en-GB"/>
              </w:rPr>
              <w:t xml:space="preserve">Partner responsible </w:t>
            </w:r>
          </w:p>
        </w:tc>
      </w:tr>
      <w:tr w:rsidR="007601FB" w14:paraId="58583AD5"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6E5785E1" w14:textId="77777777" w:rsidR="007601FB" w:rsidRDefault="007601FB" w:rsidP="0005138C">
            <w:pPr>
              <w:rPr>
                <w:lang w:val="en-GB"/>
              </w:rPr>
            </w:pPr>
            <w:r>
              <w:rPr>
                <w:lang w:val="en-GB"/>
              </w:rPr>
              <w:t>1.0</w:t>
            </w:r>
          </w:p>
        </w:tc>
        <w:tc>
          <w:tcPr>
            <w:tcW w:w="1997" w:type="dxa"/>
            <w:tcBorders>
              <w:top w:val="single" w:sz="8" w:space="0" w:color="auto"/>
              <w:left w:val="single" w:sz="8" w:space="0" w:color="auto"/>
              <w:bottom w:val="single" w:sz="8" w:space="0" w:color="auto"/>
              <w:right w:val="single" w:sz="8" w:space="0" w:color="auto"/>
            </w:tcBorders>
            <w:vAlign w:val="center"/>
          </w:tcPr>
          <w:p w14:paraId="2EB806EB" w14:textId="77777777" w:rsidR="007601FB" w:rsidRDefault="007601FB" w:rsidP="0005138C">
            <w:pPr>
              <w:rPr>
                <w:lang w:val="en-GB"/>
              </w:rPr>
            </w:pPr>
            <w:r>
              <w:rPr>
                <w:lang w:val="en-GB"/>
              </w:rPr>
              <w:t>15.12.2016</w:t>
            </w:r>
          </w:p>
        </w:tc>
        <w:tc>
          <w:tcPr>
            <w:tcW w:w="3243" w:type="dxa"/>
            <w:tcBorders>
              <w:top w:val="single" w:sz="8" w:space="0" w:color="auto"/>
              <w:left w:val="single" w:sz="8" w:space="0" w:color="auto"/>
              <w:bottom w:val="single" w:sz="8" w:space="0" w:color="auto"/>
              <w:right w:val="single" w:sz="8" w:space="0" w:color="auto"/>
            </w:tcBorders>
            <w:vAlign w:val="center"/>
          </w:tcPr>
          <w:p w14:paraId="64EE3AB6" w14:textId="77777777" w:rsidR="007601FB" w:rsidRDefault="007601FB" w:rsidP="0005138C">
            <w:pPr>
              <w:rPr>
                <w:lang w:val="en-GB"/>
              </w:rPr>
            </w:pPr>
            <w:r>
              <w:rPr>
                <w:lang w:val="en-GB"/>
              </w:rPr>
              <w:t>Initial version</w:t>
            </w:r>
          </w:p>
        </w:tc>
        <w:tc>
          <w:tcPr>
            <w:tcW w:w="2620" w:type="dxa"/>
            <w:tcBorders>
              <w:top w:val="single" w:sz="8" w:space="0" w:color="auto"/>
              <w:left w:val="single" w:sz="8" w:space="0" w:color="auto"/>
              <w:bottom w:val="single" w:sz="8" w:space="0" w:color="auto"/>
              <w:right w:val="single" w:sz="8" w:space="0" w:color="auto"/>
            </w:tcBorders>
            <w:vAlign w:val="center"/>
          </w:tcPr>
          <w:p w14:paraId="224F540D" w14:textId="77777777" w:rsidR="007601FB" w:rsidRDefault="007601FB" w:rsidP="0005138C">
            <w:pPr>
              <w:rPr>
                <w:lang w:val="en-GB"/>
              </w:rPr>
            </w:pPr>
            <w:r>
              <w:rPr>
                <w:lang w:val="en-GB"/>
              </w:rPr>
              <w:t>BMU (D.Domazet)</w:t>
            </w:r>
          </w:p>
        </w:tc>
      </w:tr>
      <w:tr w:rsidR="007601FB" w14:paraId="50507F86"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4BD5DB7D" w14:textId="77777777" w:rsidR="007601FB" w:rsidRDefault="007601FB" w:rsidP="0005138C">
            <w:pPr>
              <w:rPr>
                <w:lang w:val="en-GB"/>
              </w:rPr>
            </w:pPr>
            <w:r>
              <w:rPr>
                <w:lang w:val="en-GB"/>
              </w:rPr>
              <w:t>2.0</w:t>
            </w:r>
          </w:p>
        </w:tc>
        <w:tc>
          <w:tcPr>
            <w:tcW w:w="1997" w:type="dxa"/>
            <w:tcBorders>
              <w:top w:val="single" w:sz="8" w:space="0" w:color="auto"/>
              <w:left w:val="single" w:sz="8" w:space="0" w:color="auto"/>
              <w:bottom w:val="single" w:sz="8" w:space="0" w:color="auto"/>
              <w:right w:val="single" w:sz="8" w:space="0" w:color="auto"/>
            </w:tcBorders>
            <w:vAlign w:val="center"/>
          </w:tcPr>
          <w:p w14:paraId="665229A4" w14:textId="77777777" w:rsidR="007601FB" w:rsidRDefault="007601FB" w:rsidP="0005138C">
            <w:pPr>
              <w:rPr>
                <w:lang w:val="en-GB"/>
              </w:rPr>
            </w:pPr>
            <w:r>
              <w:rPr>
                <w:lang w:val="en-GB"/>
              </w:rPr>
              <w:t>5.1.2017</w:t>
            </w:r>
          </w:p>
        </w:tc>
        <w:tc>
          <w:tcPr>
            <w:tcW w:w="3243" w:type="dxa"/>
            <w:tcBorders>
              <w:top w:val="single" w:sz="8" w:space="0" w:color="auto"/>
              <w:left w:val="single" w:sz="8" w:space="0" w:color="auto"/>
              <w:bottom w:val="single" w:sz="8" w:space="0" w:color="auto"/>
              <w:right w:val="single" w:sz="8" w:space="0" w:color="auto"/>
            </w:tcBorders>
            <w:vAlign w:val="center"/>
          </w:tcPr>
          <w:p w14:paraId="7914739B" w14:textId="77777777" w:rsidR="007601FB" w:rsidRDefault="007601FB" w:rsidP="0005138C">
            <w:pPr>
              <w:rPr>
                <w:lang w:val="en-GB"/>
              </w:rPr>
            </w:pPr>
            <w:r>
              <w:rPr>
                <w:lang w:val="en-GB"/>
              </w:rPr>
              <w:t>Final proposal</w:t>
            </w:r>
          </w:p>
        </w:tc>
        <w:tc>
          <w:tcPr>
            <w:tcW w:w="2620" w:type="dxa"/>
            <w:tcBorders>
              <w:top w:val="single" w:sz="8" w:space="0" w:color="auto"/>
              <w:left w:val="single" w:sz="8" w:space="0" w:color="auto"/>
              <w:bottom w:val="single" w:sz="8" w:space="0" w:color="auto"/>
              <w:right w:val="single" w:sz="8" w:space="0" w:color="auto"/>
            </w:tcBorders>
            <w:vAlign w:val="center"/>
          </w:tcPr>
          <w:p w14:paraId="20A40B41" w14:textId="77777777" w:rsidR="007601FB" w:rsidRDefault="007601FB" w:rsidP="0005138C">
            <w:pPr>
              <w:rPr>
                <w:lang w:val="en-GB"/>
              </w:rPr>
            </w:pPr>
            <w:r>
              <w:rPr>
                <w:lang w:val="en-GB"/>
              </w:rPr>
              <w:t>BMU (D.Domazet)</w:t>
            </w:r>
          </w:p>
        </w:tc>
      </w:tr>
      <w:tr w:rsidR="007601FB" w14:paraId="13107507"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B391963"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88FBF69"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DAEEDD1"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AE6607E" w14:textId="77777777" w:rsidR="007601FB" w:rsidRDefault="007601FB" w:rsidP="0005138C">
            <w:pPr>
              <w:rPr>
                <w:lang w:val="en-GB"/>
              </w:rPr>
            </w:pPr>
          </w:p>
        </w:tc>
      </w:tr>
      <w:tr w:rsidR="007601FB" w14:paraId="0E8D8C52"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79664A4E"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43D9E73"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2AF49565"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4140196" w14:textId="77777777" w:rsidR="007601FB" w:rsidRDefault="007601FB" w:rsidP="0005138C">
            <w:pPr>
              <w:rPr>
                <w:lang w:val="en-GB"/>
              </w:rPr>
            </w:pPr>
          </w:p>
        </w:tc>
      </w:tr>
      <w:tr w:rsidR="007601FB" w14:paraId="4C3470EA"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74CDB70"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0A8B33A1"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9485619"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71BAFD0" w14:textId="77777777" w:rsidR="007601FB" w:rsidRDefault="007601FB" w:rsidP="0005138C">
            <w:pPr>
              <w:rPr>
                <w:lang w:val="en-GB"/>
              </w:rPr>
            </w:pPr>
          </w:p>
        </w:tc>
      </w:tr>
      <w:tr w:rsidR="007601FB" w14:paraId="3C76F4AB"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2DC9D3F"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489445E"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11092C2"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43DAD054" w14:textId="77777777" w:rsidR="007601FB" w:rsidRDefault="007601FB" w:rsidP="0005138C">
            <w:pPr>
              <w:rPr>
                <w:lang w:val="en-GB"/>
              </w:rPr>
            </w:pPr>
          </w:p>
        </w:tc>
      </w:tr>
      <w:tr w:rsidR="007601FB" w14:paraId="76536ED6"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A9508E8"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02837C62"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094775C0"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57CF86F" w14:textId="77777777" w:rsidR="007601FB" w:rsidRDefault="007601FB" w:rsidP="0005138C">
            <w:pPr>
              <w:rPr>
                <w:lang w:val="en-GB"/>
              </w:rPr>
            </w:pPr>
          </w:p>
        </w:tc>
      </w:tr>
      <w:tr w:rsidR="007601FB" w14:paraId="3C29053C"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79D0055B"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C6A7529"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B1D7E89"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58C230A" w14:textId="77777777" w:rsidR="007601FB" w:rsidRDefault="007601FB" w:rsidP="0005138C">
            <w:pPr>
              <w:rPr>
                <w:lang w:val="en-GB"/>
              </w:rPr>
            </w:pPr>
          </w:p>
        </w:tc>
      </w:tr>
      <w:tr w:rsidR="007601FB" w14:paraId="36D19CCD"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0CBA9708"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D40C547"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68DD178C"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4DD3F4A" w14:textId="77777777" w:rsidR="007601FB" w:rsidRDefault="007601FB" w:rsidP="0005138C">
            <w:pPr>
              <w:rPr>
                <w:lang w:val="en-GB"/>
              </w:rPr>
            </w:pPr>
          </w:p>
        </w:tc>
      </w:tr>
      <w:tr w:rsidR="007601FB" w14:paraId="490940DA"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27930AD"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E4D2C46"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1A84197"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EE8EE41" w14:textId="77777777" w:rsidR="007601FB" w:rsidRDefault="007601FB" w:rsidP="0005138C">
            <w:pPr>
              <w:rPr>
                <w:lang w:val="en-GB"/>
              </w:rPr>
            </w:pPr>
          </w:p>
        </w:tc>
      </w:tr>
      <w:tr w:rsidR="007601FB" w14:paraId="459132E1"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0309D42D"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2B1D61D2"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213E73DC"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3EF7CBC" w14:textId="77777777" w:rsidR="007601FB" w:rsidRDefault="007601FB" w:rsidP="0005138C">
            <w:pPr>
              <w:rPr>
                <w:lang w:val="en-GB"/>
              </w:rPr>
            </w:pPr>
          </w:p>
        </w:tc>
      </w:tr>
      <w:tr w:rsidR="007601FB" w14:paraId="77E27D4D"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E59C1DE" w14:textId="77777777" w:rsidR="007601FB" w:rsidRDefault="007601FB"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046F6394" w14:textId="77777777" w:rsidR="007601FB" w:rsidRDefault="007601FB"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404BD70B" w14:textId="77777777" w:rsidR="007601FB" w:rsidRDefault="007601FB"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8859644" w14:textId="77777777" w:rsidR="007601FB" w:rsidRDefault="007601FB" w:rsidP="0005138C">
            <w:pPr>
              <w:rPr>
                <w:lang w:val="en-GB"/>
              </w:rPr>
            </w:pPr>
          </w:p>
        </w:tc>
      </w:tr>
    </w:tbl>
    <w:p w14:paraId="46EDE191" w14:textId="77777777" w:rsidR="007601FB" w:rsidRPr="000510FE" w:rsidRDefault="007601FB" w:rsidP="007601FB">
      <w:pPr>
        <w:rPr>
          <w:rFonts w:eastAsia="Calibri" w:cs="Arial"/>
          <w:bCs/>
          <w:sz w:val="20"/>
          <w:szCs w:val="20"/>
          <w:lang w:val="en-GB" w:eastAsia="de-DE"/>
        </w:rPr>
      </w:pPr>
    </w:p>
    <w:p w14:paraId="10ABF4D9" w14:textId="42F13ACA" w:rsidR="007601FB" w:rsidRDefault="007601FB">
      <w:pPr>
        <w:spacing w:before="0"/>
        <w:jc w:val="left"/>
        <w:rPr>
          <w:rFonts w:asciiTheme="majorHAnsi" w:eastAsiaTheme="majorEastAsia" w:hAnsiTheme="majorHAnsi" w:cstheme="majorBidi"/>
          <w:color w:val="17365D" w:themeColor="text2" w:themeShade="BF"/>
          <w:spacing w:val="5"/>
          <w:kern w:val="28"/>
          <w:sz w:val="52"/>
          <w:szCs w:val="52"/>
          <w:lang w:val="sr"/>
        </w:rPr>
      </w:pPr>
      <w:r>
        <w:rPr>
          <w:rFonts w:asciiTheme="majorHAnsi" w:eastAsiaTheme="majorEastAsia" w:hAnsiTheme="majorHAnsi" w:cstheme="majorBidi"/>
          <w:color w:val="17365D" w:themeColor="text2" w:themeShade="BF"/>
          <w:spacing w:val="5"/>
          <w:kern w:val="28"/>
          <w:sz w:val="52"/>
          <w:szCs w:val="52"/>
          <w:lang w:val="sr"/>
        </w:rPr>
        <w:br w:type="page"/>
      </w:r>
    </w:p>
    <w:p w14:paraId="3B693904" w14:textId="77777777" w:rsidR="007601FB" w:rsidRDefault="007601FB" w:rsidP="007601FB">
      <w:pPr>
        <w:spacing w:before="0"/>
        <w:ind w:firstLine="720"/>
        <w:jc w:val="left"/>
        <w:rPr>
          <w:rFonts w:asciiTheme="majorHAnsi" w:eastAsiaTheme="majorEastAsia" w:hAnsiTheme="majorHAnsi" w:cstheme="majorBidi"/>
          <w:color w:val="17365D" w:themeColor="text2" w:themeShade="BF"/>
          <w:spacing w:val="5"/>
          <w:kern w:val="28"/>
          <w:sz w:val="52"/>
          <w:szCs w:val="52"/>
          <w:lang w:val="sr"/>
        </w:rPr>
      </w:pPr>
    </w:p>
    <w:p w14:paraId="483BA604" w14:textId="77777777" w:rsidR="007601FB" w:rsidRDefault="007601FB" w:rsidP="000C100D">
      <w:pPr>
        <w:pStyle w:val="Title"/>
        <w:rPr>
          <w:lang w:val="sr"/>
        </w:rPr>
      </w:pPr>
    </w:p>
    <w:p w14:paraId="537BB778" w14:textId="7AAD1AEE" w:rsidR="005B0E6D" w:rsidRDefault="000C100D" w:rsidP="000C100D">
      <w:pPr>
        <w:pStyle w:val="Title"/>
        <w:rPr>
          <w:lang w:val="sr"/>
        </w:rPr>
      </w:pPr>
      <w:r>
        <w:rPr>
          <w:lang w:val="sr"/>
        </w:rPr>
        <w:t>Препоруке за статутарно регулисање кратких програма</w:t>
      </w:r>
    </w:p>
    <w:p w14:paraId="5DEF27D3" w14:textId="028D3210" w:rsidR="000C100D" w:rsidRDefault="000C100D" w:rsidP="000C100D">
      <w:pPr>
        <w:pStyle w:val="Heading1"/>
        <w:rPr>
          <w:lang w:val="sr"/>
        </w:rPr>
      </w:pPr>
      <w:r>
        <w:rPr>
          <w:lang w:val="sr"/>
        </w:rPr>
        <w:t>Увод</w:t>
      </w:r>
    </w:p>
    <w:p w14:paraId="3AD7C429" w14:textId="21EA7FC0" w:rsidR="000C100D" w:rsidRPr="000C100D" w:rsidRDefault="000C100D" w:rsidP="000C100D">
      <w:r>
        <w:t>Овај документ даје препорука високошколској установи (ВШУ) која жели да нуди кратке програме, како да промени свој статут и да у њему предвиди шта треба да би могла да нуди кратке програме</w:t>
      </w:r>
      <w:r w:rsidR="000E0D88">
        <w:t xml:space="preserve"> предвиђене новим Законом о високом образовању</w:t>
      </w:r>
      <w:r>
        <w:t xml:space="preserve">. Наравно, ово су само препоруке, а ВШУ може да то реши на свој посебан начин. </w:t>
      </w:r>
    </w:p>
    <w:p w14:paraId="5C87F1C7" w14:textId="4CEDCFCD" w:rsidR="008A40B7" w:rsidRDefault="00E3417C" w:rsidP="000C100D">
      <w:pPr>
        <w:pStyle w:val="Heading1"/>
        <w:rPr>
          <w:lang w:val="sr"/>
        </w:rPr>
      </w:pPr>
      <w:r>
        <w:rPr>
          <w:lang w:val="sr"/>
        </w:rPr>
        <w:t>Статут в</w:t>
      </w:r>
      <w:r w:rsidR="006473FB">
        <w:rPr>
          <w:lang w:val="sr"/>
        </w:rPr>
        <w:t>и</w:t>
      </w:r>
      <w:r>
        <w:rPr>
          <w:lang w:val="sr"/>
        </w:rPr>
        <w:t>с</w:t>
      </w:r>
      <w:r w:rsidR="006473FB">
        <w:rPr>
          <w:lang w:val="sr"/>
        </w:rPr>
        <w:t>о</w:t>
      </w:r>
      <w:r>
        <w:rPr>
          <w:lang w:val="sr"/>
        </w:rPr>
        <w:t>кошколске установе</w:t>
      </w:r>
    </w:p>
    <w:p w14:paraId="34580D5A" w14:textId="7223642B" w:rsidR="00E3417C" w:rsidRDefault="00647777" w:rsidP="00E3417C">
      <w:pPr>
        <w:rPr>
          <w:lang w:val="sr"/>
        </w:rPr>
      </w:pPr>
      <w:r>
        <w:rPr>
          <w:lang w:val="sr"/>
        </w:rPr>
        <w:t xml:space="preserve">У складу са чланом 24а  Закона о високом образовању, високошколска установа која организује кратке програме треба да у члану у коме се дефинише делатност универзитета </w:t>
      </w:r>
      <w:r w:rsidR="000C100D">
        <w:rPr>
          <w:lang w:val="sr"/>
        </w:rPr>
        <w:t xml:space="preserve">  (овде га оѕначавамоа са Х1) </w:t>
      </w:r>
      <w:r>
        <w:rPr>
          <w:lang w:val="sr"/>
        </w:rPr>
        <w:t xml:space="preserve">и у коме </w:t>
      </w:r>
      <w:r w:rsidR="001C54EC">
        <w:rPr>
          <w:lang w:val="sr"/>
        </w:rPr>
        <w:t>дефинишу образовно-научна, односно образовно-уметничка поља,  као и уже области у оквиру ових поља у оквиру који организују академске и струк</w:t>
      </w:r>
      <w:r w:rsidR="007A205D">
        <w:rPr>
          <w:lang w:val="sr"/>
        </w:rPr>
        <w:t>овне студијске програме првог, другог и трећ</w:t>
      </w:r>
      <w:r w:rsidR="000C100D">
        <w:rPr>
          <w:lang w:val="sr"/>
        </w:rPr>
        <w:t>ег нивоа, треба убацити следећи став:</w:t>
      </w:r>
      <w:r w:rsidR="001C54EC">
        <w:rPr>
          <w:lang w:val="sr"/>
        </w:rPr>
        <w:t xml:space="preserve"> </w:t>
      </w:r>
    </w:p>
    <w:p w14:paraId="44C543A5" w14:textId="4B783590" w:rsidR="001C54EC" w:rsidRPr="00AA1CC7" w:rsidRDefault="001C54EC" w:rsidP="00E3417C">
      <w:pPr>
        <w:rPr>
          <w:color w:val="FF0000"/>
          <w:lang w:val="en-US"/>
        </w:rPr>
      </w:pPr>
      <w:r w:rsidRPr="00AA1CC7">
        <w:rPr>
          <w:color w:val="FF0000"/>
          <w:lang w:val="sr"/>
        </w:rPr>
        <w:t>”</w:t>
      </w:r>
      <w:r w:rsidR="00E028B3" w:rsidRPr="00AA1CC7">
        <w:rPr>
          <w:color w:val="FF0000"/>
          <w:lang w:val="sr"/>
        </w:rPr>
        <w:t>Универзитет</w:t>
      </w:r>
      <w:r w:rsidR="00E028B3" w:rsidRPr="00AA1CC7">
        <w:rPr>
          <w:color w:val="FF0000"/>
          <w:lang w:val="en-US"/>
        </w:rPr>
        <w:t xml:space="preserve">/ </w:t>
      </w:r>
      <w:r w:rsidR="00E028B3" w:rsidRPr="00AA1CC7">
        <w:rPr>
          <w:color w:val="FF0000"/>
          <w:lang w:val="sr"/>
        </w:rPr>
        <w:t>Факултет</w:t>
      </w:r>
      <w:r w:rsidR="00E028B3" w:rsidRPr="00AA1CC7">
        <w:rPr>
          <w:color w:val="FF0000"/>
          <w:lang w:val="en-US"/>
        </w:rPr>
        <w:t>/Висока струковна школа остварује и кратке програме високог образовања у складу са чланом 24а Закона о високом образовању  и то у оквиру следећих ужих области и студијских програма:</w:t>
      </w:r>
    </w:p>
    <w:p w14:paraId="07A1F5D6" w14:textId="5BDB04A3" w:rsidR="00AA1CC7" w:rsidRPr="00AA1CC7" w:rsidRDefault="00AA1CC7" w:rsidP="00AA1CC7">
      <w:pPr>
        <w:widowControl w:val="0"/>
        <w:autoSpaceDE w:val="0"/>
        <w:autoSpaceDN w:val="0"/>
        <w:adjustRightInd w:val="0"/>
        <w:spacing w:before="0" w:line="276" w:lineRule="auto"/>
        <w:ind w:left="720"/>
        <w:outlineLvl w:val="0"/>
        <w:rPr>
          <w:bCs/>
          <w:color w:val="FF0000"/>
        </w:rPr>
      </w:pPr>
      <w:r w:rsidRPr="00AA1CC7">
        <w:rPr>
          <w:bCs/>
          <w:color w:val="FF0000"/>
        </w:rPr>
        <w:t>Поље: &lt;назив поља</w:t>
      </w:r>
    </w:p>
    <w:p w14:paraId="7A84654E" w14:textId="4CF7216B" w:rsidR="00AA1CC7" w:rsidRPr="00AA1CC7" w:rsidRDefault="00AA1CC7" w:rsidP="00AA1CC7">
      <w:pPr>
        <w:widowControl w:val="0"/>
        <w:autoSpaceDE w:val="0"/>
        <w:autoSpaceDN w:val="0"/>
        <w:adjustRightInd w:val="0"/>
        <w:spacing w:before="0" w:line="276" w:lineRule="auto"/>
        <w:ind w:left="720"/>
        <w:rPr>
          <w:color w:val="FF0000"/>
        </w:rPr>
      </w:pPr>
      <w:r w:rsidRPr="00AA1CC7">
        <w:rPr>
          <w:color w:val="FF0000"/>
        </w:rPr>
        <w:t>Област: &lt;назив области</w:t>
      </w:r>
    </w:p>
    <w:p w14:paraId="1AD1209A" w14:textId="689C889A" w:rsidR="00AA1CC7" w:rsidRPr="00AA1CC7" w:rsidRDefault="00AA1CC7" w:rsidP="00AA1CC7">
      <w:pPr>
        <w:widowControl w:val="0"/>
        <w:autoSpaceDE w:val="0"/>
        <w:autoSpaceDN w:val="0"/>
        <w:adjustRightInd w:val="0"/>
        <w:spacing w:before="0" w:line="276" w:lineRule="auto"/>
        <w:ind w:left="720"/>
        <w:rPr>
          <w:color w:val="FF0000"/>
        </w:rPr>
      </w:pPr>
      <w:r w:rsidRPr="00AA1CC7">
        <w:rPr>
          <w:color w:val="FF0000"/>
        </w:rPr>
        <w:t>Студијски програм: &lt;назив програма&gt;”</w:t>
      </w:r>
    </w:p>
    <w:p w14:paraId="0876AA84" w14:textId="7AA1F189" w:rsidR="00E028B3" w:rsidRPr="00957873" w:rsidRDefault="00AA1CC7" w:rsidP="00957873">
      <w:pPr>
        <w:widowControl w:val="0"/>
        <w:autoSpaceDE w:val="0"/>
        <w:autoSpaceDN w:val="0"/>
        <w:adjustRightInd w:val="0"/>
        <w:spacing w:before="0" w:line="276" w:lineRule="auto"/>
        <w:rPr>
          <w:lang w:val="sr"/>
        </w:rPr>
      </w:pPr>
      <w:r>
        <w:t>Високошколска установа наводи све студијске програма, а у оквиру и њихови ужи обла</w:t>
      </w:r>
      <w:r w:rsidR="001207C4">
        <w:t>сти и поља у оквиру који организ</w:t>
      </w:r>
      <w:r>
        <w:t>ује кратке програме.</w:t>
      </w:r>
    </w:p>
    <w:p w14:paraId="2B0C429D" w14:textId="2C8399B7" w:rsidR="00E3417C" w:rsidRDefault="00874F15" w:rsidP="00E3417C">
      <w:pPr>
        <w:rPr>
          <w:lang w:val="sr"/>
        </w:rPr>
      </w:pPr>
      <w:r w:rsidRPr="00874F15">
        <w:rPr>
          <w:color w:val="FF0000"/>
          <w:lang w:val="sr"/>
        </w:rPr>
        <w:t>У члану Х</w:t>
      </w:r>
      <w:r w:rsidR="00446139">
        <w:rPr>
          <w:color w:val="FF0000"/>
          <w:lang w:val="sr"/>
        </w:rPr>
        <w:t>2</w:t>
      </w:r>
      <w:r>
        <w:rPr>
          <w:lang w:val="sr"/>
        </w:rPr>
        <w:t xml:space="preserve"> </w:t>
      </w:r>
      <w:r w:rsidR="00957873">
        <w:rPr>
          <w:lang w:val="sr"/>
        </w:rPr>
        <w:t xml:space="preserve"> Статута у </w:t>
      </w:r>
      <w:r w:rsidR="00957873" w:rsidRPr="000C100D">
        <w:rPr>
          <w:i/>
          <w:lang w:val="sr"/>
        </w:rPr>
        <w:t>коме дефинише вр</w:t>
      </w:r>
      <w:r w:rsidR="00446139" w:rsidRPr="000C100D">
        <w:rPr>
          <w:i/>
          <w:lang w:val="sr"/>
        </w:rPr>
        <w:t>сте организ</w:t>
      </w:r>
      <w:r w:rsidR="000C100D" w:rsidRPr="000C100D">
        <w:rPr>
          <w:i/>
          <w:lang w:val="sr"/>
        </w:rPr>
        <w:t>ација</w:t>
      </w:r>
      <w:r w:rsidR="000C100D">
        <w:rPr>
          <w:lang w:val="sr"/>
        </w:rPr>
        <w:t xml:space="preserve"> у свом саставу  и организ</w:t>
      </w:r>
      <w:r w:rsidR="00957873">
        <w:rPr>
          <w:lang w:val="sr"/>
        </w:rPr>
        <w:t xml:space="preserve">ационе јединице у оквиру високошколске јединице, </w:t>
      </w:r>
      <w:r w:rsidR="00957873" w:rsidRPr="00957873">
        <w:rPr>
          <w:color w:val="FF0000"/>
          <w:lang w:val="sr"/>
        </w:rPr>
        <w:t>треба предвидети организациону јединицу која се бави организацијом и радом кратких програма, као на</w:t>
      </w:r>
      <w:r w:rsidR="001207C4">
        <w:rPr>
          <w:color w:val="FF0000"/>
          <w:lang w:val="sr"/>
        </w:rPr>
        <w:t xml:space="preserve"> </w:t>
      </w:r>
      <w:r w:rsidR="00957873" w:rsidRPr="00957873">
        <w:rPr>
          <w:color w:val="FF0000"/>
          <w:lang w:val="sr"/>
        </w:rPr>
        <w:t>пр</w:t>
      </w:r>
      <w:r w:rsidR="001207C4">
        <w:rPr>
          <w:color w:val="FF0000"/>
          <w:lang w:val="sr"/>
        </w:rPr>
        <w:t xml:space="preserve">имер Центар за континуирано </w:t>
      </w:r>
      <w:r w:rsidR="00957873" w:rsidRPr="00957873">
        <w:rPr>
          <w:color w:val="FF0000"/>
          <w:lang w:val="sr"/>
        </w:rPr>
        <w:t xml:space="preserve"> образовање</w:t>
      </w:r>
      <w:r w:rsidR="001207C4">
        <w:rPr>
          <w:lang w:val="sr"/>
        </w:rPr>
        <w:t xml:space="preserve"> (назив одређује високошколска уст</w:t>
      </w:r>
      <w:r w:rsidR="00957873">
        <w:rPr>
          <w:lang w:val="sr"/>
        </w:rPr>
        <w:t xml:space="preserve">анова). </w:t>
      </w:r>
    </w:p>
    <w:p w14:paraId="0111E636" w14:textId="7E6C3797" w:rsidR="00957873" w:rsidRDefault="00957873" w:rsidP="00E3417C">
      <w:pPr>
        <w:rPr>
          <w:lang w:val="sr"/>
        </w:rPr>
      </w:pPr>
      <w:r>
        <w:rPr>
          <w:lang w:val="sr"/>
        </w:rPr>
        <w:t xml:space="preserve">У делу Статута </w:t>
      </w:r>
      <w:r w:rsidRPr="000C100D">
        <w:rPr>
          <w:i/>
          <w:lang w:val="sr"/>
        </w:rPr>
        <w:t>у коме ближе уређује рад појединих организационих јединица</w:t>
      </w:r>
      <w:r>
        <w:rPr>
          <w:lang w:val="sr"/>
        </w:rPr>
        <w:t xml:space="preserve"> треба додати следећи члан</w:t>
      </w:r>
      <w:r w:rsidR="00493294">
        <w:rPr>
          <w:lang w:val="sr"/>
        </w:rPr>
        <w:t>, чији могућни текст може бити сличан овом</w:t>
      </w:r>
      <w:r>
        <w:rPr>
          <w:lang w:val="sr"/>
        </w:rPr>
        <w:t>:</w:t>
      </w:r>
    </w:p>
    <w:p w14:paraId="082ADE12" w14:textId="77777777" w:rsidR="00957873" w:rsidRDefault="00957873" w:rsidP="00E3417C">
      <w:pPr>
        <w:rPr>
          <w:lang w:val="sr"/>
        </w:rPr>
      </w:pPr>
    </w:p>
    <w:p w14:paraId="17A38256" w14:textId="333138B2" w:rsidR="00493294" w:rsidRPr="00874F15" w:rsidRDefault="000E0D88" w:rsidP="00493294">
      <w:pPr>
        <w:rPr>
          <w:color w:val="FF0000"/>
          <w:lang w:val="sr"/>
        </w:rPr>
      </w:pPr>
      <w:r>
        <w:rPr>
          <w:color w:val="FF0000"/>
          <w:lang w:val="sr"/>
        </w:rPr>
        <w:t>”</w:t>
      </w:r>
      <w:r w:rsidR="00493294" w:rsidRPr="00874F15">
        <w:rPr>
          <w:color w:val="FF0000"/>
          <w:lang w:val="sr"/>
        </w:rPr>
        <w:t xml:space="preserve">Центар за </w:t>
      </w:r>
      <w:r w:rsidR="00B93E7F">
        <w:rPr>
          <w:color w:val="FF0000"/>
          <w:lang w:val="sr"/>
        </w:rPr>
        <w:t>кратке програме</w:t>
      </w:r>
    </w:p>
    <w:p w14:paraId="066E995C" w14:textId="192E0363" w:rsidR="00493294" w:rsidRPr="00874F15" w:rsidRDefault="00446139" w:rsidP="00874F15">
      <w:pPr>
        <w:jc w:val="center"/>
        <w:rPr>
          <w:color w:val="FF0000"/>
          <w:lang w:val="sr"/>
        </w:rPr>
      </w:pPr>
      <w:r>
        <w:rPr>
          <w:color w:val="FF0000"/>
          <w:lang w:val="sr"/>
        </w:rPr>
        <w:t>Члан Х3</w:t>
      </w:r>
    </w:p>
    <w:p w14:paraId="0F666EE6" w14:textId="1CCE507E" w:rsidR="00493294" w:rsidRPr="00874F15" w:rsidRDefault="00493294" w:rsidP="00493294">
      <w:pPr>
        <w:rPr>
          <w:color w:val="FF0000"/>
          <w:lang w:val="sr"/>
        </w:rPr>
      </w:pPr>
      <w:r w:rsidRPr="00874F15">
        <w:rPr>
          <w:color w:val="FF0000"/>
          <w:lang w:val="sr"/>
        </w:rPr>
        <w:t xml:space="preserve">Центар за </w:t>
      </w:r>
      <w:r w:rsidR="00B93E7F">
        <w:rPr>
          <w:color w:val="FF0000"/>
          <w:lang w:val="sr"/>
        </w:rPr>
        <w:t xml:space="preserve">кратке </w:t>
      </w:r>
      <w:r w:rsidRPr="00874F15">
        <w:rPr>
          <w:color w:val="FF0000"/>
          <w:lang w:val="sr"/>
        </w:rPr>
        <w:t xml:space="preserve">  је основна организациона јединица  Универзитета која пружа образовне услуге рeaлизoвaњем кратких  прoгрaма високог oбрaзoвaњa у складу са чланом 24а Закона о високом образовању.</w:t>
      </w:r>
    </w:p>
    <w:p w14:paraId="3F79D9C6" w14:textId="2ABE1DAD" w:rsidR="00493294" w:rsidRPr="00874F15" w:rsidRDefault="00493294" w:rsidP="00493294">
      <w:pPr>
        <w:rPr>
          <w:color w:val="FF0000"/>
          <w:lang w:val="sr"/>
        </w:rPr>
      </w:pPr>
      <w:r w:rsidRPr="00874F15">
        <w:rPr>
          <w:color w:val="FF0000"/>
          <w:lang w:val="sr"/>
        </w:rPr>
        <w:t>Радом центра из става 1 руководи управник, којег именује декан</w:t>
      </w:r>
      <w:r w:rsidRPr="00874F15">
        <w:rPr>
          <w:color w:val="FF0000"/>
          <w:lang w:val="en-US"/>
        </w:rPr>
        <w:t>/</w:t>
      </w:r>
      <w:r w:rsidRPr="00874F15">
        <w:rPr>
          <w:color w:val="FF0000"/>
          <w:lang w:val="sr"/>
        </w:rPr>
        <w:t>ректор.</w:t>
      </w:r>
    </w:p>
    <w:p w14:paraId="40A46868" w14:textId="0258C0D6" w:rsidR="00493294" w:rsidRPr="00874F15" w:rsidRDefault="00493294" w:rsidP="00493294">
      <w:pPr>
        <w:rPr>
          <w:color w:val="FF0000"/>
          <w:lang w:val="sr"/>
        </w:rPr>
      </w:pPr>
      <w:r w:rsidRPr="00874F15">
        <w:rPr>
          <w:color w:val="FF0000"/>
          <w:lang w:val="sr"/>
        </w:rPr>
        <w:t>Начин рада центра из става 1, као и правила студирања, припреме, усвајања, организације и извршења наставе у оквиру  кратких програма из члана Х Статута  ближе се уређују општим актом који доноси Сенат.</w:t>
      </w:r>
      <w:r w:rsidR="000E0D88">
        <w:rPr>
          <w:color w:val="FF0000"/>
          <w:lang w:val="sr"/>
        </w:rPr>
        <w:t>”</w:t>
      </w:r>
    </w:p>
    <w:p w14:paraId="695AD281" w14:textId="77777777" w:rsidR="00957873" w:rsidRPr="006473FB" w:rsidRDefault="00957873" w:rsidP="00E3417C">
      <w:pPr>
        <w:rPr>
          <w:lang w:val="sr"/>
        </w:rPr>
      </w:pPr>
    </w:p>
    <w:p w14:paraId="3DE42E84" w14:textId="6E8A6933" w:rsidR="00D82B07" w:rsidRDefault="00874F15" w:rsidP="003001A9">
      <w:pPr>
        <w:rPr>
          <w:lang w:val="sr"/>
        </w:rPr>
      </w:pPr>
      <w:r>
        <w:rPr>
          <w:lang w:val="sr"/>
        </w:rPr>
        <w:t xml:space="preserve">У члану </w:t>
      </w:r>
      <w:r w:rsidR="004408A2">
        <w:rPr>
          <w:lang w:val="sr"/>
        </w:rPr>
        <w:t xml:space="preserve"> Х4 </w:t>
      </w:r>
      <w:r>
        <w:rPr>
          <w:lang w:val="sr"/>
        </w:rPr>
        <w:t>који</w:t>
      </w:r>
      <w:r w:rsidR="00B65FE9">
        <w:rPr>
          <w:lang w:val="sr"/>
        </w:rPr>
        <w:t xml:space="preserve"> одређује </w:t>
      </w:r>
      <w:r w:rsidR="00B65FE9" w:rsidRPr="00B65FE9">
        <w:rPr>
          <w:i/>
          <w:lang w:val="sr"/>
        </w:rPr>
        <w:t>врсте и нивое студија</w:t>
      </w:r>
      <w:r w:rsidR="00B65FE9">
        <w:rPr>
          <w:lang w:val="sr"/>
        </w:rPr>
        <w:t>, треба додати следећи став:</w:t>
      </w:r>
    </w:p>
    <w:p w14:paraId="6E7C1623" w14:textId="77777777" w:rsidR="00B65FE9" w:rsidRDefault="00B65FE9" w:rsidP="003001A9">
      <w:pPr>
        <w:rPr>
          <w:lang w:val="sr"/>
        </w:rPr>
      </w:pPr>
    </w:p>
    <w:p w14:paraId="2830AEFA" w14:textId="71130144" w:rsidR="00B65FE9" w:rsidRPr="00446139" w:rsidRDefault="00B65FE9" w:rsidP="00B65FE9">
      <w:pPr>
        <w:rPr>
          <w:color w:val="FF0000"/>
          <w:lang w:val="sr"/>
        </w:rPr>
      </w:pPr>
      <w:r w:rsidRPr="00446139">
        <w:rPr>
          <w:color w:val="FF0000"/>
          <w:lang w:val="sr"/>
        </w:rPr>
        <w:t>”Високошколска установа</w:t>
      </w:r>
      <w:r w:rsidRPr="00446139">
        <w:rPr>
          <w:color w:val="FF0000"/>
          <w:lang w:val="en-US"/>
        </w:rPr>
        <w:t xml:space="preserve">/ универзитет / факултет / </w:t>
      </w:r>
      <w:r w:rsidRPr="00446139">
        <w:rPr>
          <w:color w:val="FF0000"/>
          <w:lang w:val="sr"/>
        </w:rPr>
        <w:t>школа организује и кратке програме, који садрже делове постојећих студијских програма првог и/или другог нивоа студија у циљу образова</w:t>
      </w:r>
      <w:r w:rsidR="00446139" w:rsidRPr="00446139">
        <w:rPr>
          <w:color w:val="FF0000"/>
          <w:lang w:val="sr"/>
        </w:rPr>
        <w:t>ња студената за одређени посао у оквиру”</w:t>
      </w:r>
      <w:r w:rsidRPr="00446139">
        <w:rPr>
          <w:color w:val="FF0000"/>
          <w:lang w:val="sr"/>
        </w:rPr>
        <w:t xml:space="preserve"> једне уже научне, стручне или уметничке области, а у складу са чланом 24а Закона о високом образовању.</w:t>
      </w:r>
      <w:r w:rsidR="00446139" w:rsidRPr="00446139">
        <w:rPr>
          <w:color w:val="FF0000"/>
          <w:lang w:val="sr"/>
        </w:rPr>
        <w:t>”</w:t>
      </w:r>
    </w:p>
    <w:p w14:paraId="690F3361" w14:textId="77777777" w:rsidR="00B65FE9" w:rsidRDefault="00B65FE9" w:rsidP="003001A9">
      <w:pPr>
        <w:rPr>
          <w:lang w:val="sr"/>
        </w:rPr>
      </w:pPr>
    </w:p>
    <w:p w14:paraId="01248B96" w14:textId="4EF2CB27" w:rsidR="00446139" w:rsidRDefault="00446139" w:rsidP="003001A9">
      <w:pPr>
        <w:rPr>
          <w:lang w:val="sr"/>
        </w:rPr>
      </w:pPr>
      <w:r>
        <w:rPr>
          <w:lang w:val="sr"/>
        </w:rPr>
        <w:t xml:space="preserve">У члану </w:t>
      </w:r>
      <w:r w:rsidR="004408A2">
        <w:rPr>
          <w:lang w:val="sr"/>
        </w:rPr>
        <w:t xml:space="preserve"> Х5 </w:t>
      </w:r>
      <w:r w:rsidRPr="000C100D">
        <w:rPr>
          <w:i/>
          <w:lang w:val="sr"/>
        </w:rPr>
        <w:t>који одређује трајање студија</w:t>
      </w:r>
      <w:r>
        <w:rPr>
          <w:lang w:val="sr"/>
        </w:rPr>
        <w:t xml:space="preserve"> треба додати следећи став:</w:t>
      </w:r>
    </w:p>
    <w:p w14:paraId="5ABB9662" w14:textId="31C0747E" w:rsidR="00446139" w:rsidRPr="00446139" w:rsidRDefault="00446139" w:rsidP="003001A9">
      <w:pPr>
        <w:rPr>
          <w:color w:val="FF0000"/>
          <w:lang w:val="sr"/>
        </w:rPr>
      </w:pPr>
      <w:r w:rsidRPr="00446139">
        <w:rPr>
          <w:color w:val="FF0000"/>
          <w:lang w:val="sr"/>
        </w:rPr>
        <w:t xml:space="preserve">”Кратки програми, зависно од свог циља и обима програмског </w:t>
      </w:r>
      <w:r w:rsidR="000C100D">
        <w:rPr>
          <w:color w:val="FF0000"/>
          <w:lang w:val="sr"/>
        </w:rPr>
        <w:t>садржаја, могу трајати од 3</w:t>
      </w:r>
      <w:r w:rsidRPr="00446139">
        <w:rPr>
          <w:color w:val="FF0000"/>
          <w:lang w:val="sr"/>
        </w:rPr>
        <w:t xml:space="preserve"> до 18 месеци, и да обезбеђују од 30 до 90 ЕСПБ бодова. ”</w:t>
      </w:r>
    </w:p>
    <w:p w14:paraId="67113499" w14:textId="3D0C2EB5" w:rsidR="00D82B07" w:rsidRDefault="00446139" w:rsidP="003001A9">
      <w:pPr>
        <w:rPr>
          <w:lang w:val="sr"/>
        </w:rPr>
      </w:pPr>
      <w:r w:rsidRPr="004408A2">
        <w:rPr>
          <w:lang w:val="sr"/>
        </w:rPr>
        <w:t xml:space="preserve">У делу Статута  </w:t>
      </w:r>
      <w:r w:rsidRPr="000C100D">
        <w:rPr>
          <w:i/>
          <w:lang w:val="sr"/>
        </w:rPr>
        <w:t>у коме се описује студијски програм</w:t>
      </w:r>
      <w:r w:rsidR="00CC0A05">
        <w:rPr>
          <w:lang w:val="sr"/>
        </w:rPr>
        <w:t>, препоручује се уметање следећих чланова:</w:t>
      </w:r>
    </w:p>
    <w:p w14:paraId="19D5B42B" w14:textId="1365F6CD" w:rsidR="004408A2" w:rsidRDefault="004408A2" w:rsidP="003001A9">
      <w:pPr>
        <w:rPr>
          <w:color w:val="FF0000"/>
          <w:lang w:val="sr"/>
        </w:rPr>
      </w:pPr>
      <w:r>
        <w:rPr>
          <w:color w:val="FF0000"/>
          <w:lang w:val="sr"/>
        </w:rPr>
        <w:t>”</w:t>
      </w:r>
      <w:r w:rsidR="00B93E7F">
        <w:rPr>
          <w:color w:val="FF0000"/>
          <w:lang w:val="sr"/>
        </w:rPr>
        <w:t>Кратки програм</w:t>
      </w:r>
      <w:r w:rsidR="00301493">
        <w:rPr>
          <w:color w:val="FF0000"/>
          <w:lang w:val="sr"/>
        </w:rPr>
        <w:t xml:space="preserve"> високог образовања</w:t>
      </w:r>
    </w:p>
    <w:p w14:paraId="6CF61DA4" w14:textId="0C3D7B8C" w:rsidR="004408A2" w:rsidRDefault="004408A2" w:rsidP="004408A2">
      <w:pPr>
        <w:jc w:val="center"/>
        <w:rPr>
          <w:color w:val="FF0000"/>
          <w:lang w:val="sr"/>
        </w:rPr>
      </w:pPr>
      <w:r>
        <w:rPr>
          <w:color w:val="FF0000"/>
          <w:lang w:val="sr"/>
        </w:rPr>
        <w:t>Члан Х6</w:t>
      </w:r>
    </w:p>
    <w:p w14:paraId="04B3F100" w14:textId="4D7D9FEE" w:rsidR="00301493" w:rsidRDefault="00301493" w:rsidP="00301493">
      <w:pPr>
        <w:rPr>
          <w:color w:val="FF0000"/>
          <w:lang w:val="sr"/>
        </w:rPr>
      </w:pPr>
      <w:r w:rsidRPr="00D93699">
        <w:rPr>
          <w:color w:val="FF0000"/>
          <w:lang w:val="sr"/>
        </w:rPr>
        <w:t>Кратки програм</w:t>
      </w:r>
      <w:r>
        <w:rPr>
          <w:color w:val="FF0000"/>
          <w:lang w:val="sr"/>
        </w:rPr>
        <w:t xml:space="preserve"> високог образовања</w:t>
      </w:r>
      <w:r w:rsidRPr="00D93699">
        <w:rPr>
          <w:color w:val="FF0000"/>
          <w:lang w:val="sr"/>
        </w:rPr>
        <w:t xml:space="preserve"> чини циљно формиран скуп курсева ради обезбеђивања ко</w:t>
      </w:r>
      <w:r>
        <w:rPr>
          <w:color w:val="FF0000"/>
          <w:lang w:val="sr"/>
        </w:rPr>
        <w:t>мпетенција потребних за одређено радно</w:t>
      </w:r>
      <w:r w:rsidRPr="00D93699">
        <w:rPr>
          <w:color w:val="FF0000"/>
          <w:lang w:val="sr"/>
        </w:rPr>
        <w:t xml:space="preserve"> ме</w:t>
      </w:r>
      <w:r>
        <w:rPr>
          <w:color w:val="FF0000"/>
          <w:lang w:val="sr"/>
        </w:rPr>
        <w:t>сто, тј. посао</w:t>
      </w:r>
      <w:r w:rsidRPr="00D93699">
        <w:rPr>
          <w:color w:val="FF0000"/>
          <w:lang w:val="sr"/>
        </w:rPr>
        <w:t xml:space="preserve"> за којим</w:t>
      </w:r>
      <w:r>
        <w:rPr>
          <w:color w:val="FF0000"/>
          <w:lang w:val="sr"/>
        </w:rPr>
        <w:t xml:space="preserve"> постоји тражња на тржишту рада, а чијим савлађивањем  студент стиче сертификат који га квалификује за један одређени посао у оквиру једне уже научне, стручне или уметничке  области или дисциплне  (једнодисциплинарни  кратки програм) или у оквиру две или више ужих  научних, стручних и/или уметничких области или дисциплина (мултидисциплинарни кратки програм).</w:t>
      </w:r>
    </w:p>
    <w:p w14:paraId="453F8D0D" w14:textId="4D5D10AE" w:rsidR="00301493" w:rsidRDefault="00301493" w:rsidP="00301493">
      <w:pPr>
        <w:rPr>
          <w:color w:val="FF0000"/>
          <w:lang w:val="sr"/>
        </w:rPr>
      </w:pPr>
      <w:r>
        <w:rPr>
          <w:color w:val="FF0000"/>
          <w:lang w:val="sr"/>
        </w:rPr>
        <w:t xml:space="preserve">У складу са својим циљем, кратки програм обухвата део једног или </w:t>
      </w:r>
      <w:r w:rsidR="007163FC">
        <w:rPr>
          <w:color w:val="FF0000"/>
          <w:lang w:val="sr"/>
        </w:rPr>
        <w:t xml:space="preserve">делове </w:t>
      </w:r>
      <w:r>
        <w:rPr>
          <w:color w:val="FF0000"/>
          <w:lang w:val="sr"/>
        </w:rPr>
        <w:t>више академских или струковних студијских програма,  првог и</w:t>
      </w:r>
      <w:r>
        <w:rPr>
          <w:color w:val="FF0000"/>
          <w:lang w:val="en-US"/>
        </w:rPr>
        <w:t>/</w:t>
      </w:r>
      <w:r>
        <w:rPr>
          <w:color w:val="FF0000"/>
          <w:lang w:val="sr"/>
        </w:rPr>
        <w:t xml:space="preserve">или другог нивоа. </w:t>
      </w:r>
    </w:p>
    <w:p w14:paraId="7A286029" w14:textId="0F69346E" w:rsidR="00334FF4" w:rsidRDefault="00334FF4" w:rsidP="00301493">
      <w:pPr>
        <w:rPr>
          <w:color w:val="FF0000"/>
          <w:lang w:val="sr"/>
        </w:rPr>
      </w:pPr>
      <w:r>
        <w:rPr>
          <w:color w:val="FF0000"/>
          <w:lang w:val="sr"/>
        </w:rPr>
        <w:t xml:space="preserve">Кратки програм се не може изводити уколико нема подршку најмање једног послодавца са којим универзитет/ факултет / школа има уговор о запошљавању студената који успешно заврше кратки програм и који задовоље критериуме избора кандидата за запослење послодавца. </w:t>
      </w:r>
    </w:p>
    <w:p w14:paraId="170E3838" w14:textId="77777777" w:rsidR="00FA7D80" w:rsidRDefault="007163FC" w:rsidP="004408A2">
      <w:pPr>
        <w:rPr>
          <w:color w:val="FF0000"/>
          <w:lang w:val="sr"/>
        </w:rPr>
      </w:pPr>
      <w:r>
        <w:rPr>
          <w:color w:val="FF0000"/>
          <w:lang w:val="sr"/>
        </w:rPr>
        <w:t xml:space="preserve">Садржај кратког </w:t>
      </w:r>
      <w:r w:rsidR="00334FF4">
        <w:rPr>
          <w:color w:val="FF0000"/>
          <w:lang w:val="sr"/>
        </w:rPr>
        <w:t>програма је утврђен чланом 28а Закона о високо, образо</w:t>
      </w:r>
      <w:r>
        <w:rPr>
          <w:color w:val="FF0000"/>
          <w:lang w:val="sr"/>
        </w:rPr>
        <w:t>вању, а детаљнији опис њего</w:t>
      </w:r>
      <w:r w:rsidR="00334FF4">
        <w:rPr>
          <w:color w:val="FF0000"/>
          <w:lang w:val="sr"/>
        </w:rPr>
        <w:t>ве структуре и садржаја, правила студија, организ</w:t>
      </w:r>
      <w:r>
        <w:rPr>
          <w:color w:val="FF0000"/>
          <w:lang w:val="sr"/>
        </w:rPr>
        <w:t xml:space="preserve">ације студија, припреме, поступка прихватања </w:t>
      </w:r>
      <w:r w:rsidR="00334FF4">
        <w:rPr>
          <w:color w:val="FF0000"/>
          <w:lang w:val="sr"/>
        </w:rPr>
        <w:t>и извршења кратког програма, утврђ</w:t>
      </w:r>
      <w:r>
        <w:rPr>
          <w:color w:val="FF0000"/>
          <w:lang w:val="sr"/>
        </w:rPr>
        <w:t xml:space="preserve">ује се </w:t>
      </w:r>
    </w:p>
    <w:p w14:paraId="3824CE24" w14:textId="00C9A6BE" w:rsidR="00FA7D80" w:rsidRPr="00FA7D80" w:rsidRDefault="00FA7D80" w:rsidP="00FA7D80">
      <w:pPr>
        <w:pStyle w:val="ListParagraph"/>
        <w:numPr>
          <w:ilvl w:val="0"/>
          <w:numId w:val="21"/>
        </w:numPr>
        <w:rPr>
          <w:color w:val="FF0000"/>
          <w:lang w:val="sr"/>
        </w:rPr>
      </w:pPr>
      <w:r>
        <w:rPr>
          <w:i/>
          <w:color w:val="FF0000"/>
          <w:lang w:val="sr"/>
        </w:rPr>
        <w:t>Правилник</w:t>
      </w:r>
      <w:r w:rsidR="007163FC" w:rsidRPr="00FA7D80">
        <w:rPr>
          <w:i/>
          <w:color w:val="FF0000"/>
          <w:lang w:val="sr"/>
        </w:rPr>
        <w:t xml:space="preserve"> о правилима </w:t>
      </w:r>
      <w:r w:rsidR="00334FF4" w:rsidRPr="00FA7D80">
        <w:rPr>
          <w:i/>
          <w:color w:val="FF0000"/>
          <w:lang w:val="sr"/>
        </w:rPr>
        <w:t>студија</w:t>
      </w:r>
      <w:r>
        <w:rPr>
          <w:i/>
          <w:color w:val="FF0000"/>
          <w:lang w:val="sr"/>
        </w:rPr>
        <w:t xml:space="preserve"> на кратким програмима</w:t>
      </w:r>
    </w:p>
    <w:p w14:paraId="520D2199" w14:textId="4D712B9A" w:rsidR="00334FF4" w:rsidRPr="00FA7D80" w:rsidRDefault="00FA7D80" w:rsidP="00FA7D80">
      <w:pPr>
        <w:pStyle w:val="ListParagraph"/>
        <w:numPr>
          <w:ilvl w:val="0"/>
          <w:numId w:val="21"/>
        </w:numPr>
        <w:rPr>
          <w:color w:val="FF0000"/>
          <w:lang w:val="sr"/>
        </w:rPr>
      </w:pPr>
      <w:r>
        <w:rPr>
          <w:i/>
          <w:color w:val="FF0000"/>
          <w:lang w:val="sr"/>
        </w:rPr>
        <w:t xml:space="preserve">Правилник о </w:t>
      </w:r>
      <w:r w:rsidR="00334FF4" w:rsidRPr="00FA7D80">
        <w:rPr>
          <w:i/>
          <w:color w:val="FF0000"/>
          <w:lang w:val="sr"/>
        </w:rPr>
        <w:t>оргна</w:t>
      </w:r>
      <w:r w:rsidR="00281B9C" w:rsidRPr="00FA7D80">
        <w:rPr>
          <w:i/>
          <w:color w:val="FF0000"/>
          <w:lang w:val="sr"/>
        </w:rPr>
        <w:t>н</w:t>
      </w:r>
      <w:r w:rsidR="00334FF4" w:rsidRPr="00FA7D80">
        <w:rPr>
          <w:i/>
          <w:color w:val="FF0000"/>
          <w:lang w:val="sr"/>
        </w:rPr>
        <w:t>изацији, припреми, усвајању и извршењу кратких програма</w:t>
      </w:r>
      <w:r w:rsidR="00334FF4" w:rsidRPr="00FA7D80">
        <w:rPr>
          <w:color w:val="FF0000"/>
          <w:lang w:val="sr"/>
        </w:rPr>
        <w:t>.</w:t>
      </w:r>
    </w:p>
    <w:p w14:paraId="5C45531C" w14:textId="55214837" w:rsidR="00334FF4" w:rsidRDefault="00334FF4" w:rsidP="00334FF4">
      <w:pPr>
        <w:jc w:val="center"/>
        <w:rPr>
          <w:color w:val="FF0000"/>
          <w:lang w:val="sr"/>
        </w:rPr>
      </w:pPr>
      <w:r>
        <w:rPr>
          <w:color w:val="FF0000"/>
          <w:lang w:val="sr"/>
        </w:rPr>
        <w:t>Члан Х7</w:t>
      </w:r>
    </w:p>
    <w:p w14:paraId="78DC49EF" w14:textId="4F6FB268" w:rsidR="00334FF4" w:rsidRDefault="00334FF4" w:rsidP="00334FF4">
      <w:pPr>
        <w:rPr>
          <w:color w:val="FF0000"/>
          <w:lang w:val="sr"/>
        </w:rPr>
      </w:pPr>
      <w:r w:rsidRPr="001207C4">
        <w:rPr>
          <w:i/>
          <w:color w:val="FF0000"/>
          <w:lang w:val="sr"/>
        </w:rPr>
        <w:t>Правилник о орг</w:t>
      </w:r>
      <w:r w:rsidR="00281B9C" w:rsidRPr="001207C4">
        <w:rPr>
          <w:i/>
          <w:color w:val="FF0000"/>
          <w:lang w:val="sr"/>
        </w:rPr>
        <w:t>а</w:t>
      </w:r>
      <w:r w:rsidR="001207C4" w:rsidRPr="001207C4">
        <w:rPr>
          <w:i/>
          <w:color w:val="FF0000"/>
          <w:lang w:val="sr"/>
        </w:rPr>
        <w:t>н</w:t>
      </w:r>
      <w:r w:rsidRPr="001207C4">
        <w:rPr>
          <w:i/>
          <w:color w:val="FF0000"/>
          <w:lang w:val="sr"/>
        </w:rPr>
        <w:t>изацији, припреми, усвај</w:t>
      </w:r>
      <w:r w:rsidR="00281B9C" w:rsidRPr="001207C4">
        <w:rPr>
          <w:i/>
          <w:color w:val="FF0000"/>
          <w:lang w:val="sr"/>
        </w:rPr>
        <w:t>ању и извршењу кратких програма</w:t>
      </w:r>
      <w:r w:rsidR="00281B9C">
        <w:rPr>
          <w:color w:val="FF0000"/>
          <w:lang w:val="sr"/>
        </w:rPr>
        <w:t xml:space="preserve">, поред дефинисања садржаја кратког програма одређеног чланом 28а Закона о високом образовању, утврђује да сваки кратки програм мора да садржи и следеће информације: </w:t>
      </w:r>
    </w:p>
    <w:p w14:paraId="1F301E9E" w14:textId="77777777" w:rsidR="005F2723" w:rsidRDefault="005F2723" w:rsidP="00281B9C">
      <w:pPr>
        <w:pStyle w:val="ListParagraph"/>
        <w:numPr>
          <w:ilvl w:val="0"/>
          <w:numId w:val="20"/>
        </w:numPr>
        <w:rPr>
          <w:color w:val="FF0000"/>
          <w:lang w:val="sr"/>
        </w:rPr>
      </w:pPr>
      <w:r>
        <w:rPr>
          <w:color w:val="FF0000"/>
          <w:lang w:val="sr"/>
        </w:rPr>
        <w:t>Детаљан опис посла за који кратки програм образује студента</w:t>
      </w:r>
    </w:p>
    <w:p w14:paraId="4CAEA55C" w14:textId="77777777" w:rsidR="005F2723" w:rsidRDefault="005F2723" w:rsidP="00281B9C">
      <w:pPr>
        <w:pStyle w:val="ListParagraph"/>
        <w:numPr>
          <w:ilvl w:val="0"/>
          <w:numId w:val="20"/>
        </w:numPr>
        <w:rPr>
          <w:color w:val="FF0000"/>
          <w:lang w:val="sr"/>
        </w:rPr>
      </w:pPr>
      <w:r>
        <w:rPr>
          <w:color w:val="FF0000"/>
          <w:lang w:val="sr"/>
        </w:rPr>
        <w:t xml:space="preserve">Потпуни списак и опис непходних компетенција за обављање посла </w:t>
      </w:r>
    </w:p>
    <w:p w14:paraId="3B579869" w14:textId="288798C5" w:rsidR="005F2723" w:rsidRDefault="005F2723" w:rsidP="00281B9C">
      <w:pPr>
        <w:pStyle w:val="ListParagraph"/>
        <w:numPr>
          <w:ilvl w:val="0"/>
          <w:numId w:val="20"/>
        </w:numPr>
        <w:rPr>
          <w:color w:val="FF0000"/>
          <w:lang w:val="sr"/>
        </w:rPr>
      </w:pPr>
      <w:r>
        <w:rPr>
          <w:color w:val="FF0000"/>
          <w:lang w:val="sr"/>
        </w:rPr>
        <w:t xml:space="preserve">Списак исхода учења које кратка програм обезбеђује, који мора д абуде у уској вези са потребним компетенцијама и описаом посла за који  се студенти образују,                                     </w:t>
      </w:r>
    </w:p>
    <w:p w14:paraId="245D5ECF" w14:textId="5576E150" w:rsidR="00281B9C" w:rsidRDefault="005F2723" w:rsidP="00281B9C">
      <w:pPr>
        <w:pStyle w:val="ListParagraph"/>
        <w:numPr>
          <w:ilvl w:val="0"/>
          <w:numId w:val="20"/>
        </w:numPr>
        <w:rPr>
          <w:color w:val="FF0000"/>
          <w:lang w:val="sr"/>
        </w:rPr>
      </w:pPr>
      <w:r>
        <w:rPr>
          <w:color w:val="FF0000"/>
          <w:lang w:val="sr"/>
        </w:rPr>
        <w:t>Циљ, исходи</w:t>
      </w:r>
      <w:r w:rsidR="00281B9C">
        <w:rPr>
          <w:color w:val="FF0000"/>
          <w:lang w:val="sr"/>
        </w:rPr>
        <w:t xml:space="preserve"> учења и програмски садржај сваког курса кратког програма.</w:t>
      </w:r>
    </w:p>
    <w:p w14:paraId="53AACCD0" w14:textId="7D042EA5" w:rsidR="00281B9C" w:rsidRDefault="00281B9C" w:rsidP="00281B9C">
      <w:pPr>
        <w:pStyle w:val="ListParagraph"/>
        <w:numPr>
          <w:ilvl w:val="0"/>
          <w:numId w:val="20"/>
        </w:numPr>
        <w:rPr>
          <w:color w:val="FF0000"/>
          <w:lang w:val="sr"/>
        </w:rPr>
      </w:pPr>
      <w:r>
        <w:rPr>
          <w:color w:val="FF0000"/>
          <w:lang w:val="sr"/>
        </w:rPr>
        <w:t>Термински план извршења наставе кратког програма, у зависности од начина извођења наставе (класично, онлајн или хибридно)</w:t>
      </w:r>
      <w:r w:rsidR="00386277">
        <w:rPr>
          <w:color w:val="FF0000"/>
          <w:lang w:val="sr"/>
        </w:rPr>
        <w:t xml:space="preserve">, који укљућује и могућност више циклуса уписа у току једне школске године. </w:t>
      </w:r>
    </w:p>
    <w:p w14:paraId="6D44D4C2" w14:textId="02CC2710" w:rsidR="00FA7D80" w:rsidRPr="00386277" w:rsidRDefault="00281B9C" w:rsidP="00FA7D80">
      <w:pPr>
        <w:pStyle w:val="ListParagraph"/>
        <w:numPr>
          <w:ilvl w:val="0"/>
          <w:numId w:val="20"/>
        </w:numPr>
        <w:rPr>
          <w:color w:val="FF0000"/>
          <w:lang w:val="sr"/>
        </w:rPr>
      </w:pPr>
      <w:r>
        <w:rPr>
          <w:color w:val="FF0000"/>
          <w:lang w:val="sr"/>
        </w:rPr>
        <w:t>Списак ангажованих наставника и сарадника за припрему и извршење кратког програма.</w:t>
      </w:r>
    </w:p>
    <w:p w14:paraId="378BD8D2" w14:textId="4EC8092D" w:rsidR="00FA7D80" w:rsidRPr="00FA7D80" w:rsidRDefault="00281B9C" w:rsidP="00FA7D80">
      <w:pPr>
        <w:pStyle w:val="ListParagraph"/>
        <w:numPr>
          <w:ilvl w:val="0"/>
          <w:numId w:val="20"/>
        </w:numPr>
        <w:rPr>
          <w:color w:val="FF0000"/>
          <w:lang w:val="sr"/>
        </w:rPr>
      </w:pPr>
      <w:r>
        <w:rPr>
          <w:color w:val="FF0000"/>
          <w:lang w:val="sr"/>
        </w:rPr>
        <w:t xml:space="preserve">Дефинисање процеса припреме и одлучивања </w:t>
      </w:r>
      <w:r w:rsidR="00FA7D80">
        <w:rPr>
          <w:color w:val="FF0000"/>
          <w:lang w:val="sr"/>
        </w:rPr>
        <w:t xml:space="preserve">приликом усвајања предлога за формирање кратког програма, који мора да укључи и представнике послодаваца који запошљавају </w:t>
      </w:r>
      <w:r>
        <w:rPr>
          <w:color w:val="FF0000"/>
          <w:lang w:val="sr"/>
        </w:rPr>
        <w:t xml:space="preserve"> </w:t>
      </w:r>
      <w:r w:rsidR="00FA7D80">
        <w:rPr>
          <w:color w:val="FF0000"/>
          <w:lang w:val="sr"/>
        </w:rPr>
        <w:t xml:space="preserve"> лица за пословепосл</w:t>
      </w:r>
      <w:r w:rsidR="001207C4">
        <w:rPr>
          <w:color w:val="FF0000"/>
          <w:lang w:val="sr"/>
        </w:rPr>
        <w:t>ова за које кратак програм образ</w:t>
      </w:r>
      <w:r w:rsidR="00FA7D80">
        <w:rPr>
          <w:color w:val="FF0000"/>
          <w:lang w:val="sr"/>
        </w:rPr>
        <w:t>ује студенте.</w:t>
      </w:r>
    </w:p>
    <w:p w14:paraId="33A0B6A6" w14:textId="54A21ACA" w:rsidR="00FA7D80" w:rsidRDefault="00FA7D80" w:rsidP="00281B9C">
      <w:pPr>
        <w:pStyle w:val="ListParagraph"/>
        <w:numPr>
          <w:ilvl w:val="0"/>
          <w:numId w:val="20"/>
        </w:numPr>
        <w:rPr>
          <w:color w:val="FF0000"/>
          <w:lang w:val="sr"/>
        </w:rPr>
      </w:pPr>
      <w:r>
        <w:rPr>
          <w:color w:val="FF0000"/>
          <w:lang w:val="sr"/>
        </w:rPr>
        <w:t>Број студената који се може уписати у једном циклусу</w:t>
      </w:r>
      <w:r w:rsidR="004907D9">
        <w:rPr>
          <w:color w:val="FF0000"/>
          <w:lang w:val="sr"/>
        </w:rPr>
        <w:t xml:space="preserve"> (са једном или више наставних група), а у односу и на начин извошења наставе </w:t>
      </w:r>
    </w:p>
    <w:p w14:paraId="06056736" w14:textId="3CE8F06C" w:rsidR="00FA7D80" w:rsidRDefault="00FA7D80" w:rsidP="00281B9C">
      <w:pPr>
        <w:pStyle w:val="ListParagraph"/>
        <w:numPr>
          <w:ilvl w:val="0"/>
          <w:numId w:val="20"/>
        </w:numPr>
        <w:rPr>
          <w:color w:val="FF0000"/>
          <w:lang w:val="sr"/>
        </w:rPr>
      </w:pPr>
      <w:r>
        <w:rPr>
          <w:color w:val="FF0000"/>
          <w:lang w:val="sr"/>
        </w:rPr>
        <w:t xml:space="preserve">Број студената </w:t>
      </w:r>
      <w:r w:rsidR="004907D9">
        <w:rPr>
          <w:color w:val="FF0000"/>
          <w:lang w:val="sr"/>
        </w:rPr>
        <w:t>по групи и број наставних група</w:t>
      </w:r>
    </w:p>
    <w:p w14:paraId="057CD7AD" w14:textId="3F5B6A40" w:rsidR="005F2723" w:rsidRDefault="00CC0A05" w:rsidP="00281B9C">
      <w:pPr>
        <w:pStyle w:val="ListParagraph"/>
        <w:numPr>
          <w:ilvl w:val="0"/>
          <w:numId w:val="20"/>
        </w:numPr>
        <w:rPr>
          <w:color w:val="FF0000"/>
          <w:lang w:val="sr"/>
        </w:rPr>
      </w:pPr>
      <w:r>
        <w:rPr>
          <w:color w:val="FF0000"/>
          <w:lang w:val="sr"/>
        </w:rPr>
        <w:t>П</w:t>
      </w:r>
      <w:r w:rsidR="005F2723">
        <w:rPr>
          <w:color w:val="FF0000"/>
          <w:lang w:val="sr"/>
        </w:rPr>
        <w:t>лан реализације практичног дела наставе</w:t>
      </w:r>
      <w:r>
        <w:rPr>
          <w:color w:val="FF0000"/>
          <w:lang w:val="sr"/>
        </w:rPr>
        <w:t xml:space="preserve"> у оквиру сваког курса, </w:t>
      </w:r>
    </w:p>
    <w:p w14:paraId="153030F8" w14:textId="74D360F9" w:rsidR="004907D9" w:rsidRDefault="004907D9" w:rsidP="00281B9C">
      <w:pPr>
        <w:pStyle w:val="ListParagraph"/>
        <w:numPr>
          <w:ilvl w:val="0"/>
          <w:numId w:val="20"/>
        </w:numPr>
        <w:rPr>
          <w:color w:val="FF0000"/>
          <w:lang w:val="sr"/>
        </w:rPr>
      </w:pPr>
      <w:r>
        <w:rPr>
          <w:color w:val="FF0000"/>
          <w:lang w:val="sr"/>
        </w:rPr>
        <w:t>Потребан простор и наставна средства неопходна за извршење наставе</w:t>
      </w:r>
    </w:p>
    <w:p w14:paraId="69EA8814" w14:textId="65735928" w:rsidR="004907D9" w:rsidRDefault="004907D9" w:rsidP="00281B9C">
      <w:pPr>
        <w:pStyle w:val="ListParagraph"/>
        <w:numPr>
          <w:ilvl w:val="0"/>
          <w:numId w:val="20"/>
        </w:numPr>
        <w:rPr>
          <w:color w:val="FF0000"/>
          <w:lang w:val="sr"/>
        </w:rPr>
      </w:pPr>
      <w:r>
        <w:rPr>
          <w:color w:val="FF0000"/>
          <w:lang w:val="sr"/>
        </w:rPr>
        <w:t>Начин контроле квалитета припремљених наставних материјала</w:t>
      </w:r>
    </w:p>
    <w:p w14:paraId="6C3C2A37" w14:textId="5B2C6043" w:rsidR="004907D9" w:rsidRDefault="004907D9" w:rsidP="00281B9C">
      <w:pPr>
        <w:pStyle w:val="ListParagraph"/>
        <w:numPr>
          <w:ilvl w:val="0"/>
          <w:numId w:val="20"/>
        </w:numPr>
        <w:rPr>
          <w:color w:val="FF0000"/>
          <w:lang w:val="sr"/>
        </w:rPr>
      </w:pPr>
      <w:r>
        <w:rPr>
          <w:color w:val="FF0000"/>
          <w:lang w:val="sr"/>
        </w:rPr>
        <w:t>Начин надзора извршења наставе на курсевима кратког програма и оцењивање квалитета наставе.</w:t>
      </w:r>
    </w:p>
    <w:p w14:paraId="5075D3EA" w14:textId="77777777" w:rsidR="004907D9" w:rsidRDefault="004907D9" w:rsidP="004907D9">
      <w:pPr>
        <w:ind w:left="360"/>
        <w:rPr>
          <w:color w:val="FF0000"/>
          <w:lang w:val="sr"/>
        </w:rPr>
      </w:pPr>
    </w:p>
    <w:p w14:paraId="41A7110B" w14:textId="23830258" w:rsidR="004907D9" w:rsidRDefault="004907D9" w:rsidP="004907D9">
      <w:pPr>
        <w:ind w:left="360"/>
        <w:jc w:val="center"/>
        <w:rPr>
          <w:color w:val="FF0000"/>
          <w:lang w:val="sr"/>
        </w:rPr>
      </w:pPr>
      <w:r>
        <w:rPr>
          <w:color w:val="FF0000"/>
          <w:lang w:val="sr"/>
        </w:rPr>
        <w:t>Члан Х8</w:t>
      </w:r>
    </w:p>
    <w:p w14:paraId="7057419B" w14:textId="0F58F3FD" w:rsidR="004907D9" w:rsidRDefault="004907D9" w:rsidP="004907D9">
      <w:pPr>
        <w:rPr>
          <w:color w:val="FF0000"/>
          <w:lang w:val="sr"/>
        </w:rPr>
      </w:pPr>
      <w:r w:rsidRPr="004907D9">
        <w:rPr>
          <w:i/>
          <w:color w:val="FF0000"/>
          <w:lang w:val="sr"/>
        </w:rPr>
        <w:t>Правилник о правилима студија на кратким програмима</w:t>
      </w:r>
      <w:r>
        <w:rPr>
          <w:i/>
          <w:color w:val="FF0000"/>
          <w:lang w:val="sr"/>
        </w:rPr>
        <w:t xml:space="preserve"> </w:t>
      </w:r>
      <w:r>
        <w:rPr>
          <w:color w:val="FF0000"/>
          <w:lang w:val="sr"/>
        </w:rPr>
        <w:t>уређује следеће:</w:t>
      </w:r>
    </w:p>
    <w:p w14:paraId="41AFC658" w14:textId="0EF899E6" w:rsidR="004907D9" w:rsidRDefault="004907D9" w:rsidP="004907D9">
      <w:pPr>
        <w:pStyle w:val="ListParagraph"/>
        <w:numPr>
          <w:ilvl w:val="0"/>
          <w:numId w:val="22"/>
        </w:numPr>
        <w:rPr>
          <w:color w:val="FF0000"/>
          <w:lang w:val="sr"/>
        </w:rPr>
      </w:pPr>
      <w:r>
        <w:rPr>
          <w:color w:val="FF0000"/>
          <w:lang w:val="sr"/>
        </w:rPr>
        <w:t xml:space="preserve">Начин уписа студената и рангирања кандидата уколико </w:t>
      </w:r>
      <w:r w:rsidR="00386277">
        <w:rPr>
          <w:color w:val="FF0000"/>
          <w:lang w:val="sr"/>
        </w:rPr>
        <w:t xml:space="preserve">је </w:t>
      </w:r>
      <w:r>
        <w:rPr>
          <w:color w:val="FF0000"/>
          <w:lang w:val="sr"/>
        </w:rPr>
        <w:t xml:space="preserve">број заинтересованих за упис је већи од </w:t>
      </w:r>
      <w:r w:rsidR="00386277">
        <w:rPr>
          <w:color w:val="FF0000"/>
          <w:lang w:val="sr"/>
        </w:rPr>
        <w:t>капацитета уписа студената за студирање у кратком програма  у једном циклусу.</w:t>
      </w:r>
    </w:p>
    <w:p w14:paraId="22F43DEE" w14:textId="2EDE9966" w:rsidR="00386277" w:rsidRDefault="00386277" w:rsidP="004907D9">
      <w:pPr>
        <w:pStyle w:val="ListParagraph"/>
        <w:numPr>
          <w:ilvl w:val="0"/>
          <w:numId w:val="22"/>
        </w:numPr>
        <w:rPr>
          <w:color w:val="FF0000"/>
          <w:lang w:val="sr"/>
        </w:rPr>
      </w:pPr>
      <w:r>
        <w:rPr>
          <w:color w:val="FF0000"/>
          <w:lang w:val="sr"/>
        </w:rPr>
        <w:t>Права и обавезе студената</w:t>
      </w:r>
    </w:p>
    <w:p w14:paraId="6D033394" w14:textId="1BCF3C98" w:rsidR="00386277" w:rsidRDefault="00386277" w:rsidP="004907D9">
      <w:pPr>
        <w:pStyle w:val="ListParagraph"/>
        <w:numPr>
          <w:ilvl w:val="0"/>
          <w:numId w:val="22"/>
        </w:numPr>
        <w:rPr>
          <w:color w:val="FF0000"/>
          <w:lang w:val="sr"/>
        </w:rPr>
      </w:pPr>
      <w:r>
        <w:rPr>
          <w:color w:val="FF0000"/>
          <w:lang w:val="sr"/>
        </w:rPr>
        <w:t>Правила  студија, тј. услови уписа студената на наредни курс кратког програма, начин праћења свалађивања наставног градива од стране студената, и начин оцењивања студената у току наставе  и на завршном испиту.</w:t>
      </w:r>
      <w:r w:rsidR="001207C4">
        <w:rPr>
          <w:color w:val="FF0000"/>
          <w:lang w:val="sr"/>
        </w:rPr>
        <w:t xml:space="preserve"> организ</w:t>
      </w:r>
      <w:r w:rsidR="005F2723">
        <w:rPr>
          <w:color w:val="FF0000"/>
          <w:lang w:val="sr"/>
        </w:rPr>
        <w:t>ација испита и дефинисање испитних рокова.</w:t>
      </w:r>
    </w:p>
    <w:p w14:paraId="7965372C" w14:textId="54BE659C" w:rsidR="005F2723" w:rsidRDefault="005F2723" w:rsidP="004907D9">
      <w:pPr>
        <w:pStyle w:val="ListParagraph"/>
        <w:numPr>
          <w:ilvl w:val="0"/>
          <w:numId w:val="22"/>
        </w:numPr>
        <w:rPr>
          <w:color w:val="FF0000"/>
          <w:lang w:val="sr"/>
        </w:rPr>
      </w:pPr>
      <w:r>
        <w:rPr>
          <w:color w:val="FF0000"/>
          <w:lang w:val="sr"/>
        </w:rPr>
        <w:t>Мировање права и</w:t>
      </w:r>
      <w:r w:rsidR="001207C4">
        <w:rPr>
          <w:color w:val="FF0000"/>
          <w:lang w:val="sr"/>
        </w:rPr>
        <w:t xml:space="preserve"> </w:t>
      </w:r>
      <w:r>
        <w:rPr>
          <w:color w:val="FF0000"/>
          <w:lang w:val="sr"/>
        </w:rPr>
        <w:t>обавеза студената</w:t>
      </w:r>
    </w:p>
    <w:p w14:paraId="3B0288C6" w14:textId="4F49B75C" w:rsidR="005F2723" w:rsidRDefault="001207C4" w:rsidP="004907D9">
      <w:pPr>
        <w:pStyle w:val="ListParagraph"/>
        <w:numPr>
          <w:ilvl w:val="0"/>
          <w:numId w:val="22"/>
        </w:numPr>
        <w:rPr>
          <w:color w:val="FF0000"/>
          <w:lang w:val="sr"/>
        </w:rPr>
      </w:pPr>
      <w:r>
        <w:rPr>
          <w:color w:val="FF0000"/>
          <w:lang w:val="sr"/>
        </w:rPr>
        <w:t>Дисциплинс</w:t>
      </w:r>
      <w:r w:rsidR="005F2723">
        <w:rPr>
          <w:color w:val="FF0000"/>
          <w:lang w:val="sr"/>
        </w:rPr>
        <w:t>ка одговорност студената</w:t>
      </w:r>
    </w:p>
    <w:p w14:paraId="72190EC2" w14:textId="77777777" w:rsidR="005F2723" w:rsidRDefault="005F2723" w:rsidP="005F2723">
      <w:pPr>
        <w:rPr>
          <w:color w:val="FF0000"/>
          <w:lang w:val="sr"/>
        </w:rPr>
      </w:pPr>
    </w:p>
    <w:p w14:paraId="3107EDB2" w14:textId="03BD6474" w:rsidR="00CC0A05" w:rsidRDefault="00CC0A05" w:rsidP="00CC0A05">
      <w:pPr>
        <w:jc w:val="center"/>
        <w:rPr>
          <w:color w:val="FF0000"/>
          <w:lang w:val="sr"/>
        </w:rPr>
      </w:pPr>
      <w:r>
        <w:rPr>
          <w:color w:val="FF0000"/>
          <w:lang w:val="sr"/>
        </w:rPr>
        <w:t>Члан Х9</w:t>
      </w:r>
    </w:p>
    <w:p w14:paraId="00E59CCF" w14:textId="48189CEB" w:rsidR="00CC0A05" w:rsidRDefault="00CC0A05" w:rsidP="00CC0A05">
      <w:pPr>
        <w:rPr>
          <w:color w:val="FF0000"/>
          <w:lang w:val="sr"/>
        </w:rPr>
      </w:pPr>
      <w:r>
        <w:rPr>
          <w:color w:val="FF0000"/>
          <w:lang w:val="sr"/>
        </w:rPr>
        <w:t>Правилнике из члана Х7 и Х8  припрема радна група формирана одлуком декана факултета у оквиру којег су студијски програми чије делове програма користи кратки програм а усваја стручни Сенат универзитета на предлог стручног органа факултета. ”</w:t>
      </w:r>
    </w:p>
    <w:p w14:paraId="5C99C24D" w14:textId="1F7E805E" w:rsidR="000C100D" w:rsidRPr="000C100D" w:rsidRDefault="000C100D" w:rsidP="00CC0A05">
      <w:pPr>
        <w:pStyle w:val="Heading1"/>
        <w:rPr>
          <w:lang w:val="sr"/>
        </w:rPr>
      </w:pPr>
      <w:r>
        <w:rPr>
          <w:lang w:val="sr"/>
        </w:rPr>
        <w:t>Додатна објашњења</w:t>
      </w:r>
    </w:p>
    <w:p w14:paraId="7A9B0BEC" w14:textId="7DE401D9" w:rsidR="00492BD6" w:rsidRDefault="00492BD6" w:rsidP="000C100D">
      <w:pPr>
        <w:ind w:firstLine="360"/>
        <w:rPr>
          <w:lang w:val="sr"/>
        </w:rPr>
      </w:pPr>
      <w:r>
        <w:rPr>
          <w:lang w:val="sr"/>
        </w:rPr>
        <w:t>Високошколска установа може користити кратке програме:</w:t>
      </w:r>
    </w:p>
    <w:p w14:paraId="198AD397" w14:textId="419B982A" w:rsidR="00492BD6" w:rsidRDefault="001207C4" w:rsidP="00492BD6">
      <w:pPr>
        <w:pStyle w:val="ListParagraph"/>
        <w:numPr>
          <w:ilvl w:val="0"/>
          <w:numId w:val="23"/>
        </w:numPr>
        <w:rPr>
          <w:lang w:val="sr"/>
        </w:rPr>
      </w:pPr>
      <w:r>
        <w:rPr>
          <w:lang w:val="sr"/>
        </w:rPr>
        <w:t>Као алтернативу својим програмима основних студија з</w:t>
      </w:r>
      <w:r w:rsidR="00492BD6">
        <w:rPr>
          <w:lang w:val="sr"/>
        </w:rPr>
        <w:t>а</w:t>
      </w:r>
      <w:r>
        <w:rPr>
          <w:lang w:val="sr"/>
        </w:rPr>
        <w:t xml:space="preserve"> </w:t>
      </w:r>
      <w:r w:rsidR="00492BD6">
        <w:rPr>
          <w:lang w:val="sr"/>
        </w:rPr>
        <w:t>бруцоше који из разних разлога не могу да упишу основне студије, а желе што пре да стекну квалификацију за посао који се тражи на тржишту.</w:t>
      </w:r>
    </w:p>
    <w:p w14:paraId="4EFF3508" w14:textId="533D8DD8" w:rsidR="00492BD6" w:rsidRDefault="00492BD6" w:rsidP="00492BD6">
      <w:pPr>
        <w:pStyle w:val="ListParagraph"/>
        <w:numPr>
          <w:ilvl w:val="0"/>
          <w:numId w:val="23"/>
        </w:numPr>
        <w:rPr>
          <w:lang w:val="sr"/>
        </w:rPr>
      </w:pPr>
      <w:r>
        <w:rPr>
          <w:lang w:val="sr"/>
        </w:rPr>
        <w:t>У случају неуспешних студената основних студија, да им понуди као нач</w:t>
      </w:r>
      <w:r w:rsidR="001207C4">
        <w:rPr>
          <w:lang w:val="sr"/>
        </w:rPr>
        <w:t>ин да заврше успешно своје образ</w:t>
      </w:r>
      <w:r>
        <w:rPr>
          <w:lang w:val="sr"/>
        </w:rPr>
        <w:t>ова</w:t>
      </w:r>
      <w:r w:rsidR="001207C4">
        <w:rPr>
          <w:lang w:val="sr"/>
        </w:rPr>
        <w:t>ње, и уместо да се квалификују з</w:t>
      </w:r>
      <w:r>
        <w:rPr>
          <w:lang w:val="sr"/>
        </w:rPr>
        <w:t>а одређену струку, да стекну квалификцацију бар за обављање једног посла који се тражи.</w:t>
      </w:r>
    </w:p>
    <w:p w14:paraId="68B1E788" w14:textId="55C2EEB1" w:rsidR="00492BD6" w:rsidRDefault="001207C4" w:rsidP="00492BD6">
      <w:pPr>
        <w:pStyle w:val="ListParagraph"/>
        <w:numPr>
          <w:ilvl w:val="0"/>
          <w:numId w:val="23"/>
        </w:numPr>
        <w:rPr>
          <w:lang w:val="sr"/>
        </w:rPr>
      </w:pPr>
      <w:r>
        <w:rPr>
          <w:lang w:val="sr"/>
        </w:rPr>
        <w:t>За један вид</w:t>
      </w:r>
      <w:r w:rsidR="00492BD6">
        <w:rPr>
          <w:lang w:val="sr"/>
        </w:rPr>
        <w:t xml:space="preserve"> преквалификације лица која имају </w:t>
      </w:r>
      <w:r>
        <w:rPr>
          <w:lang w:val="sr"/>
        </w:rPr>
        <w:t>диплому основних студија, али с</w:t>
      </w:r>
      <w:r w:rsidR="00492BD6">
        <w:rPr>
          <w:lang w:val="sr"/>
        </w:rPr>
        <w:t>а</w:t>
      </w:r>
      <w:r>
        <w:rPr>
          <w:lang w:val="sr"/>
        </w:rPr>
        <w:t xml:space="preserve"> њом не могу да дођ</w:t>
      </w:r>
      <w:r w:rsidR="00492BD6">
        <w:rPr>
          <w:lang w:val="sr"/>
        </w:rPr>
        <w:t xml:space="preserve">у до посла, тј. запослења. Кратак програм а њих може бити решење проблема. </w:t>
      </w:r>
    </w:p>
    <w:p w14:paraId="0A8370B3" w14:textId="771AFC9B" w:rsidR="00492BD6" w:rsidRDefault="00492BD6" w:rsidP="00492BD6">
      <w:pPr>
        <w:pStyle w:val="ListParagraph"/>
        <w:numPr>
          <w:ilvl w:val="0"/>
          <w:numId w:val="23"/>
        </w:numPr>
        <w:rPr>
          <w:lang w:val="sr"/>
        </w:rPr>
      </w:pPr>
      <w:r>
        <w:rPr>
          <w:lang w:val="sr"/>
        </w:rPr>
        <w:t>Као вид допуне мастерских студија, које су нај</w:t>
      </w:r>
      <w:r w:rsidR="001207C4">
        <w:rPr>
          <w:lang w:val="sr"/>
        </w:rPr>
        <w:t>че</w:t>
      </w:r>
      <w:r>
        <w:rPr>
          <w:lang w:val="sr"/>
        </w:rPr>
        <w:t>шће код нас једнодисципл</w:t>
      </w:r>
      <w:r w:rsidR="001207C4">
        <w:rPr>
          <w:lang w:val="sr"/>
        </w:rPr>
        <w:t>и</w:t>
      </w:r>
      <w:r>
        <w:rPr>
          <w:lang w:val="sr"/>
        </w:rPr>
        <w:t>нарне и које не могу да садрже и предмете који се нормално предају на основним студијама, али у случају мастер студија, могу да представљају корисну допуну. Ако се студентима мастерских студија,</w:t>
      </w:r>
      <w:r w:rsidR="001207C4">
        <w:rPr>
          <w:lang w:val="sr"/>
        </w:rPr>
        <w:t xml:space="preserve"> ѕа време студирања, или после з</w:t>
      </w:r>
      <w:r>
        <w:rPr>
          <w:lang w:val="sr"/>
        </w:rPr>
        <w:t>авршетка мастерских студија, понуди кратак програм (сигурно са мање од 60 ЕСПБ,  најчешће са 30 ЕСПБ), он може да стекне :</w:t>
      </w:r>
    </w:p>
    <w:p w14:paraId="6F874663" w14:textId="54ABBA58" w:rsidR="00492BD6" w:rsidRDefault="00492BD6" w:rsidP="00492BD6">
      <w:pPr>
        <w:pStyle w:val="ListParagraph"/>
        <w:numPr>
          <w:ilvl w:val="1"/>
          <w:numId w:val="23"/>
        </w:numPr>
        <w:rPr>
          <w:lang w:val="sr"/>
        </w:rPr>
      </w:pPr>
      <w:r>
        <w:rPr>
          <w:lang w:val="sr"/>
        </w:rPr>
        <w:t>додатна знања из других дисциплина, и то на нивоу основних студија</w:t>
      </w:r>
      <w:r w:rsidR="00043185">
        <w:rPr>
          <w:lang w:val="sr"/>
        </w:rPr>
        <w:t>, а која су му потребна за обављање свог посла (као на пример, знања из педагогије носиоцима мастер диплома који су запослени у образовним установама, или менаџерска и маркетишка  знања неопходна инжењерима или уметницима, који стартују своје фирме и желе да се баве предузетништвом), или</w:t>
      </w:r>
    </w:p>
    <w:p w14:paraId="03C5FA55" w14:textId="6E6B673A" w:rsidR="00043185" w:rsidRDefault="00043185" w:rsidP="00492BD6">
      <w:pPr>
        <w:pStyle w:val="ListParagraph"/>
        <w:numPr>
          <w:ilvl w:val="1"/>
          <w:numId w:val="23"/>
        </w:numPr>
        <w:rPr>
          <w:lang w:val="sr"/>
        </w:rPr>
      </w:pPr>
      <w:r>
        <w:rPr>
          <w:lang w:val="sr"/>
        </w:rPr>
        <w:t>продубљавање теоријских или стручних знања, која нису планирана у програму мастерских студија, било зато што  се ређе траже, било зато што су резултат јављања нових технологија и научних открића, што мастрских програми, због обавезе периодичне акредитације  још нису обухватили,</w:t>
      </w:r>
    </w:p>
    <w:p w14:paraId="4E6AB33F" w14:textId="6A8EF9D9" w:rsidR="00043185" w:rsidRDefault="00043185" w:rsidP="000C100D">
      <w:pPr>
        <w:ind w:firstLine="720"/>
        <w:rPr>
          <w:lang w:val="sr"/>
        </w:rPr>
      </w:pPr>
      <w:r>
        <w:rPr>
          <w:lang w:val="sr"/>
        </w:rPr>
        <w:t xml:space="preserve">Ове и друге случајеве примене кратких програма високошколска установа може да идентификује, и да онда предвиди одговарајуће промене у свом Статуту.  </w:t>
      </w:r>
    </w:p>
    <w:p w14:paraId="3618A56C" w14:textId="1D6026D5" w:rsidR="00043185" w:rsidRDefault="00043185" w:rsidP="000C100D">
      <w:pPr>
        <w:ind w:firstLine="720"/>
        <w:rPr>
          <w:lang w:val="sr"/>
        </w:rPr>
      </w:pPr>
      <w:r>
        <w:rPr>
          <w:lang w:val="sr"/>
        </w:rPr>
        <w:t>Високошколска установа примен</w:t>
      </w:r>
      <w:r w:rsidR="00A97615">
        <w:rPr>
          <w:lang w:val="sr"/>
        </w:rPr>
        <w:t>у кратких програма може превид</w:t>
      </w:r>
      <w:r>
        <w:rPr>
          <w:lang w:val="sr"/>
        </w:rPr>
        <w:t>и и минималним променама у свом Статуту, позивајуће се само на поједине чланове Закона о високом образовању који регулишу организац</w:t>
      </w:r>
      <w:r w:rsidR="00A97615">
        <w:rPr>
          <w:lang w:val="sr"/>
        </w:rPr>
        <w:t>ију и примену кратких програна.</w:t>
      </w:r>
    </w:p>
    <w:p w14:paraId="29255DC3" w14:textId="3E7A069E" w:rsidR="00492BD6" w:rsidRPr="00A97615" w:rsidRDefault="00A97615" w:rsidP="000C100D">
      <w:pPr>
        <w:ind w:firstLine="720"/>
      </w:pPr>
      <w:r>
        <w:t>Препоручљиво је да се Статутом или  посебним општим актом предвиди детаљнији начин извођења кратких програма. Искуство је показало, на пример, да су успешнији они кратки програми, чији се курсеви секвенцијало изводе, тј. један по један, него параленим извођењем (као у случају студијских програма основних и</w:t>
      </w:r>
      <w:r w:rsidR="001207C4">
        <w:t xml:space="preserve"> </w:t>
      </w:r>
      <w:r>
        <w:t>мастер студија).  Посебно је важно да наставно особље прође посебне курсеве обуке за рад са студентима кратких програма, ј</w:t>
      </w:r>
      <w:r w:rsidR="000E0D88">
        <w:t>ер у њима морају да се појачано</w:t>
      </w:r>
      <w:r>
        <w:t xml:space="preserve"> баве практичним примерима примене стеченог знања.</w:t>
      </w:r>
    </w:p>
    <w:p w14:paraId="032DB4B7" w14:textId="47CBDA64" w:rsidR="006F0050" w:rsidRDefault="00EA5B72" w:rsidP="000C100D">
      <w:pPr>
        <w:ind w:firstLine="720"/>
      </w:pPr>
      <w:r>
        <w:t>Кратки програми</w:t>
      </w:r>
      <w:r w:rsidR="006F0050" w:rsidRPr="006F0050">
        <w:t xml:space="preserve"> високог образовања Србије  се не акредитују, јер их могу нудити само акредитоване високошколске установе. Међутим, приликом акредитације, високошколска установа мора да поседује </w:t>
      </w:r>
      <w:r w:rsidR="006F0050" w:rsidRPr="000E0D88">
        <w:rPr>
          <w:i/>
        </w:rPr>
        <w:t>Правилник о поступку припреме, усвајања и контроле квалитета кратких програма</w:t>
      </w:r>
      <w:r w:rsidR="006F0050">
        <w:t xml:space="preserve">  или неки сличан општи акт. Комисија з</w:t>
      </w:r>
      <w:r w:rsidR="006F0050" w:rsidRPr="006F0050">
        <w:t>а акредитацију врши надзор поштовања овог правилника, и уколико се високошколска установа не придр</w:t>
      </w:r>
      <w:r w:rsidR="006F0050">
        <w:t>жава свог правилника, Комисија з</w:t>
      </w:r>
      <w:r w:rsidR="006F0050" w:rsidRPr="006F0050">
        <w:t>а ак</w:t>
      </w:r>
      <w:r w:rsidR="00AC09F8">
        <w:t>редитацију може из</w:t>
      </w:r>
      <w:r w:rsidR="006F0050">
        <w:t>дати упозоре</w:t>
      </w:r>
      <w:r w:rsidR="006F0050" w:rsidRPr="006F0050">
        <w:t xml:space="preserve">ње, а ако  високошколска установа настави да не спроводи свој Правилник, </w:t>
      </w:r>
      <w:r w:rsidR="006F0050">
        <w:t xml:space="preserve"> Комисија </w:t>
      </w:r>
      <w:r w:rsidR="006F0050" w:rsidRPr="006F0050">
        <w:t xml:space="preserve">може да изда решење о привременој забрани рада кратког програма. </w:t>
      </w:r>
      <w:r w:rsidR="006F0050" w:rsidRPr="000E0D88">
        <w:rPr>
          <w:i/>
        </w:rPr>
        <w:t>Правилник о поступку припреме, усвајања и контроле квалитета кратких програма</w:t>
      </w:r>
      <w:r w:rsidR="000E0D88">
        <w:t xml:space="preserve"> високошко</w:t>
      </w:r>
      <w:r w:rsidR="006F0050">
        <w:t>л</w:t>
      </w:r>
      <w:r w:rsidR="000E0D88">
        <w:t>с</w:t>
      </w:r>
      <w:r w:rsidR="006F0050">
        <w:t>ке установе мора д</w:t>
      </w:r>
      <w:r w:rsidR="006F0050" w:rsidRPr="006F0050">
        <w:t>а</w:t>
      </w:r>
      <w:r w:rsidR="006F0050">
        <w:t xml:space="preserve"> </w:t>
      </w:r>
      <w:r w:rsidR="006F0050" w:rsidRPr="006F0050">
        <w:t>буде у складу са Законом о високом образовању Србије и са концептом кратких програма које, као документ, усвоји Министарство просвете, науке и технолошког развоја.</w:t>
      </w:r>
    </w:p>
    <w:p w14:paraId="619199E7" w14:textId="48DC4EB0" w:rsidR="008518E3" w:rsidRDefault="008518E3" w:rsidP="000C100D">
      <w:pPr>
        <w:ind w:firstLine="720"/>
      </w:pPr>
      <w:r>
        <w:t>Високошколска установа, у складу са овде датим препорукама за промену свог статута, треба да припреми још два опшра акта:</w:t>
      </w:r>
    </w:p>
    <w:p w14:paraId="29CA16E0" w14:textId="32B324E1" w:rsidR="008518E3" w:rsidRDefault="008518E3" w:rsidP="008518E3">
      <w:pPr>
        <w:pStyle w:val="ListParagraph"/>
        <w:numPr>
          <w:ilvl w:val="0"/>
          <w:numId w:val="24"/>
        </w:numPr>
      </w:pPr>
      <w:r w:rsidRPr="000E0D88">
        <w:rPr>
          <w:i/>
        </w:rPr>
        <w:t>Правилник о поступку припреме, усвајања и контроле квалитета кратких програма</w:t>
      </w:r>
      <w:r>
        <w:t xml:space="preserve">  </w:t>
      </w:r>
    </w:p>
    <w:p w14:paraId="1D9A9851" w14:textId="4A6A22C1" w:rsidR="008518E3" w:rsidRPr="008518E3" w:rsidRDefault="008518E3" w:rsidP="008518E3">
      <w:pPr>
        <w:pStyle w:val="ListParagraph"/>
        <w:numPr>
          <w:ilvl w:val="0"/>
          <w:numId w:val="24"/>
        </w:numPr>
        <w:rPr>
          <w:i/>
        </w:rPr>
      </w:pPr>
      <w:r w:rsidRPr="008518E3">
        <w:rPr>
          <w:i/>
        </w:rPr>
        <w:t>Правилник о правилима студија на кратким програмима</w:t>
      </w:r>
    </w:p>
    <w:p w14:paraId="79FDB32D" w14:textId="77114621" w:rsidR="006F0050" w:rsidRPr="008518E3" w:rsidRDefault="008518E3" w:rsidP="008518E3">
      <w:pPr>
        <w:ind w:firstLine="720"/>
        <w:rPr>
          <w:lang w:val="sr"/>
        </w:rPr>
      </w:pPr>
      <w:r>
        <w:rPr>
          <w:lang w:val="sr"/>
        </w:rPr>
        <w:t xml:space="preserve">Њихов садржај је одређен статутом, у члановима Х7 и Х8  који су наведени у овом документу, у виду препоруке.  Сам текст ових правилника се оставља високошколским установама да га припреме, имајући у виду њихов садржај који је овде дефинисан. </w:t>
      </w:r>
    </w:p>
    <w:p w14:paraId="14CFCE65" w14:textId="77777777" w:rsidR="006F0050" w:rsidRPr="005F2723" w:rsidRDefault="006F0050" w:rsidP="00CC0A05">
      <w:pPr>
        <w:rPr>
          <w:color w:val="FF0000"/>
          <w:lang w:val="sr"/>
        </w:rPr>
      </w:pPr>
    </w:p>
    <w:p w14:paraId="2B20C71A" w14:textId="4C969436" w:rsidR="004907D9" w:rsidRPr="008438B2" w:rsidRDefault="008438B2" w:rsidP="008438B2">
      <w:pPr>
        <w:rPr>
          <w:lang w:val="sr"/>
        </w:rPr>
      </w:pPr>
      <w:r w:rsidRPr="008438B2">
        <w:rPr>
          <w:lang w:val="sr"/>
        </w:rPr>
        <w:t>Припремио</w:t>
      </w:r>
      <w:r w:rsidR="000E0D88">
        <w:rPr>
          <w:lang w:val="sr"/>
        </w:rPr>
        <w:t xml:space="preserve"> верзију 2.0</w:t>
      </w:r>
    </w:p>
    <w:p w14:paraId="06326C33" w14:textId="77777777" w:rsidR="00281B9C" w:rsidRDefault="00281B9C" w:rsidP="00334FF4">
      <w:pPr>
        <w:rPr>
          <w:color w:val="FF0000"/>
          <w:lang w:val="sr"/>
        </w:rPr>
      </w:pPr>
    </w:p>
    <w:p w14:paraId="4ACEA1F3" w14:textId="77777777" w:rsidR="000E0D88" w:rsidRDefault="008438B2" w:rsidP="00334FF4">
      <w:pPr>
        <w:rPr>
          <w:lang w:val="sr"/>
        </w:rPr>
      </w:pPr>
      <w:r>
        <w:rPr>
          <w:lang w:val="sr"/>
        </w:rPr>
        <w:t>Драган Домазет</w:t>
      </w:r>
      <w:r w:rsidR="000E0D88">
        <w:rPr>
          <w:lang w:val="sr"/>
        </w:rPr>
        <w:t xml:space="preserve">  </w:t>
      </w:r>
    </w:p>
    <w:p w14:paraId="0EF81EA0" w14:textId="7427BAAB" w:rsidR="008438B2" w:rsidRPr="00445E4B" w:rsidRDefault="000E0D88" w:rsidP="00334FF4">
      <w:pPr>
        <w:rPr>
          <w:lang w:val="sr"/>
        </w:rPr>
      </w:pPr>
      <w:r>
        <w:rPr>
          <w:lang w:val="sr"/>
        </w:rPr>
        <w:t>5.1..2017</w:t>
      </w:r>
    </w:p>
    <w:sectPr w:rsidR="008438B2" w:rsidRPr="00445E4B" w:rsidSect="00C50A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AC09F8" w:rsidRDefault="00AC09F8" w:rsidP="00C50A51">
      <w:pPr>
        <w:spacing w:before="0"/>
      </w:pPr>
      <w:r>
        <w:separator/>
      </w:r>
    </w:p>
  </w:endnote>
  <w:endnote w:type="continuationSeparator" w:id="0">
    <w:p w14:paraId="2BA1692B" w14:textId="77777777" w:rsidR="00AC09F8" w:rsidRDefault="00AC09F8"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AC09F8" w:rsidRDefault="00AC09F8"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AC09F8" w:rsidRDefault="00AC09F8"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21A6" w14:textId="77777777" w:rsidR="00AC09F8" w:rsidRDefault="00AC09F8"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1FB">
      <w:rPr>
        <w:rStyle w:val="PageNumber"/>
        <w:noProof/>
      </w:rPr>
      <w:t>1</w:t>
    </w:r>
    <w:r>
      <w:rPr>
        <w:rStyle w:val="PageNumber"/>
      </w:rPr>
      <w:fldChar w:fldCharType="end"/>
    </w:r>
  </w:p>
  <w:p w14:paraId="6187C11C" w14:textId="77777777" w:rsidR="00AC09F8" w:rsidRDefault="00AC09F8" w:rsidP="00CE23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AC09F8" w:rsidRDefault="00AC09F8" w:rsidP="00C50A51">
      <w:pPr>
        <w:spacing w:before="0"/>
      </w:pPr>
      <w:r>
        <w:separator/>
      </w:r>
    </w:p>
  </w:footnote>
  <w:footnote w:type="continuationSeparator" w:id="0">
    <w:p w14:paraId="10D91368" w14:textId="77777777" w:rsidR="00AC09F8" w:rsidRDefault="00AC09F8" w:rsidP="00C50A51">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31FF" w14:textId="5C335959" w:rsidR="00AC09F8" w:rsidRDefault="00AC09F8">
    <w:pPr>
      <w:pStyle w:val="Header"/>
      <w:rPr>
        <w:lang w:val="sr"/>
      </w:rPr>
    </w:pPr>
    <w:r>
      <w:rPr>
        <w:noProof/>
        <w:lang w:val="en-US"/>
      </w:rPr>
      <w:drawing>
        <wp:anchor distT="0" distB="0" distL="114300" distR="114300" simplePos="0" relativeHeight="251658240" behindDoc="0" locked="0" layoutInCell="1" allowOverlap="1" wp14:anchorId="13C7C410" wp14:editId="72B5C2A4">
          <wp:simplePos x="0" y="0"/>
          <wp:positionH relativeFrom="column">
            <wp:posOffset>16510</wp:posOffset>
          </wp:positionH>
          <wp:positionV relativeFrom="paragraph">
            <wp:posOffset>75565</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C69819" w14:textId="09A1A1D3" w:rsidR="00AC09F8" w:rsidRPr="00CB126A" w:rsidRDefault="00AC09F8" w:rsidP="00CB126A">
    <w:pPr>
      <w:pStyle w:val="Header"/>
      <w:jc w:val="right"/>
      <w:rPr>
        <w:lang w:val="sr"/>
      </w:rPr>
    </w:pPr>
    <w:r>
      <w:rPr>
        <w:noProof/>
        <w:lang w:val="en-US"/>
      </w:rPr>
      <mc:AlternateContent>
        <mc:Choice Requires="wps">
          <w:drawing>
            <wp:anchor distT="0" distB="0" distL="114300" distR="114300" simplePos="0" relativeHeight="251659264" behindDoc="0" locked="0" layoutInCell="1" allowOverlap="1" wp14:anchorId="2B34FD53" wp14:editId="365A935D">
              <wp:simplePos x="0" y="0"/>
              <wp:positionH relativeFrom="column">
                <wp:posOffset>0</wp:posOffset>
              </wp:positionH>
              <wp:positionV relativeFrom="paragraph">
                <wp:posOffset>670560</wp:posOffset>
              </wp:positionV>
              <wp:extent cx="5715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50pt,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" strokecolor="#4f81bd [3204]" strokeweight="2pt"/>
          </w:pict>
        </mc:Fallback>
      </mc:AlternateContent>
    </w:r>
    <w:r>
      <w:rPr>
        <w:noProof/>
        <w:lang w:val="en-US"/>
      </w:rPr>
      <w:drawing>
        <wp:inline distT="0" distB="0" distL="0" distR="0" wp14:anchorId="1BEA9325" wp14:editId="23C6BB83">
          <wp:extent cx="1990725" cy="590550"/>
          <wp:effectExtent l="19050" t="0" r="9525"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6A"/>
    <w:multiLevelType w:val="hybridMultilevel"/>
    <w:tmpl w:val="2D10391A"/>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175"/>
    <w:multiLevelType w:val="hybridMultilevel"/>
    <w:tmpl w:val="372CE69A"/>
    <w:lvl w:ilvl="0" w:tplc="37FE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6B8E"/>
    <w:multiLevelType w:val="hybridMultilevel"/>
    <w:tmpl w:val="EAAA04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E409B"/>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91EE1"/>
    <w:multiLevelType w:val="hybridMultilevel"/>
    <w:tmpl w:val="A93E4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725BB"/>
    <w:multiLevelType w:val="hybridMultilevel"/>
    <w:tmpl w:val="53F8B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A2AC4"/>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13D8"/>
    <w:multiLevelType w:val="hybridMultilevel"/>
    <w:tmpl w:val="0F241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5509D"/>
    <w:multiLevelType w:val="hybridMultilevel"/>
    <w:tmpl w:val="B044C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D5EA0"/>
    <w:multiLevelType w:val="hybridMultilevel"/>
    <w:tmpl w:val="F93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E0C63"/>
    <w:multiLevelType w:val="hybridMultilevel"/>
    <w:tmpl w:val="DEF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A317B"/>
    <w:multiLevelType w:val="hybridMultilevel"/>
    <w:tmpl w:val="15221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4080C"/>
    <w:multiLevelType w:val="hybridMultilevel"/>
    <w:tmpl w:val="DFD6D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C4EC8"/>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D3559"/>
    <w:multiLevelType w:val="hybridMultilevel"/>
    <w:tmpl w:val="8C60E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E33F3"/>
    <w:multiLevelType w:val="hybridMultilevel"/>
    <w:tmpl w:val="BC20CC2E"/>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06FA4"/>
    <w:multiLevelType w:val="hybridMultilevel"/>
    <w:tmpl w:val="50F68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2"/>
  </w:num>
  <w:num w:numId="3">
    <w:abstractNumId w:val="9"/>
  </w:num>
  <w:num w:numId="4">
    <w:abstractNumId w:val="4"/>
  </w:num>
  <w:num w:numId="5">
    <w:abstractNumId w:val="13"/>
  </w:num>
  <w:num w:numId="6">
    <w:abstractNumId w:val="5"/>
  </w:num>
  <w:num w:numId="7">
    <w:abstractNumId w:val="14"/>
  </w:num>
  <w:num w:numId="8">
    <w:abstractNumId w:val="17"/>
  </w:num>
  <w:num w:numId="9">
    <w:abstractNumId w:val="15"/>
  </w:num>
  <w:num w:numId="10">
    <w:abstractNumId w:val="10"/>
  </w:num>
  <w:num w:numId="11">
    <w:abstractNumId w:val="7"/>
  </w:num>
  <w:num w:numId="12">
    <w:abstractNumId w:val="11"/>
  </w:num>
  <w:num w:numId="13">
    <w:abstractNumId w:val="3"/>
  </w:num>
  <w:num w:numId="14">
    <w:abstractNumId w:val="12"/>
  </w:num>
  <w:num w:numId="15">
    <w:abstractNumId w:val="19"/>
  </w:num>
  <w:num w:numId="16">
    <w:abstractNumId w:val="1"/>
  </w:num>
  <w:num w:numId="17">
    <w:abstractNumId w:val="21"/>
  </w:num>
  <w:num w:numId="18">
    <w:abstractNumId w:val="0"/>
  </w:num>
  <w:num w:numId="19">
    <w:abstractNumId w:val="6"/>
  </w:num>
  <w:num w:numId="20">
    <w:abstractNumId w:val="20"/>
  </w:num>
  <w:num w:numId="21">
    <w:abstractNumId w:val="22"/>
  </w:num>
  <w:num w:numId="22">
    <w:abstractNumId w:val="18"/>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310C9"/>
    <w:rsid w:val="0003355D"/>
    <w:rsid w:val="00043185"/>
    <w:rsid w:val="00066451"/>
    <w:rsid w:val="00075A7B"/>
    <w:rsid w:val="000B62A6"/>
    <w:rsid w:val="000C100D"/>
    <w:rsid w:val="000C514C"/>
    <w:rsid w:val="000E0D88"/>
    <w:rsid w:val="000E7000"/>
    <w:rsid w:val="000E78F0"/>
    <w:rsid w:val="001207C4"/>
    <w:rsid w:val="001330FC"/>
    <w:rsid w:val="00143A98"/>
    <w:rsid w:val="001747E9"/>
    <w:rsid w:val="00185F55"/>
    <w:rsid w:val="001C54EC"/>
    <w:rsid w:val="001C7980"/>
    <w:rsid w:val="001D4CBD"/>
    <w:rsid w:val="001D54E0"/>
    <w:rsid w:val="0021306E"/>
    <w:rsid w:val="00234B76"/>
    <w:rsid w:val="00261747"/>
    <w:rsid w:val="00263701"/>
    <w:rsid w:val="00281B9C"/>
    <w:rsid w:val="00294F2C"/>
    <w:rsid w:val="002E394C"/>
    <w:rsid w:val="002F1742"/>
    <w:rsid w:val="002F6EDB"/>
    <w:rsid w:val="003001A9"/>
    <w:rsid w:val="00301493"/>
    <w:rsid w:val="0030670A"/>
    <w:rsid w:val="00321E58"/>
    <w:rsid w:val="00334FF4"/>
    <w:rsid w:val="0034233B"/>
    <w:rsid w:val="00346F68"/>
    <w:rsid w:val="00354C5B"/>
    <w:rsid w:val="00377A8C"/>
    <w:rsid w:val="003810E4"/>
    <w:rsid w:val="003851F9"/>
    <w:rsid w:val="00386277"/>
    <w:rsid w:val="003A4C9D"/>
    <w:rsid w:val="003E592A"/>
    <w:rsid w:val="003F1F57"/>
    <w:rsid w:val="004131BC"/>
    <w:rsid w:val="00430C2A"/>
    <w:rsid w:val="00430CA0"/>
    <w:rsid w:val="00431B3E"/>
    <w:rsid w:val="004408A2"/>
    <w:rsid w:val="00445E4B"/>
    <w:rsid w:val="00446139"/>
    <w:rsid w:val="004832DE"/>
    <w:rsid w:val="004907D9"/>
    <w:rsid w:val="00492BD6"/>
    <w:rsid w:val="00493294"/>
    <w:rsid w:val="004B02AD"/>
    <w:rsid w:val="004B22AB"/>
    <w:rsid w:val="004B4761"/>
    <w:rsid w:val="004B51D2"/>
    <w:rsid w:val="004D2818"/>
    <w:rsid w:val="004D3862"/>
    <w:rsid w:val="004E172F"/>
    <w:rsid w:val="00503829"/>
    <w:rsid w:val="005304E2"/>
    <w:rsid w:val="00571C6E"/>
    <w:rsid w:val="00572759"/>
    <w:rsid w:val="005A754A"/>
    <w:rsid w:val="005B0E6D"/>
    <w:rsid w:val="005C31AA"/>
    <w:rsid w:val="005F2723"/>
    <w:rsid w:val="00635B80"/>
    <w:rsid w:val="006473FB"/>
    <w:rsid w:val="00647777"/>
    <w:rsid w:val="00655DB0"/>
    <w:rsid w:val="00657962"/>
    <w:rsid w:val="0066589C"/>
    <w:rsid w:val="00672B45"/>
    <w:rsid w:val="006A38FB"/>
    <w:rsid w:val="006F0050"/>
    <w:rsid w:val="00706332"/>
    <w:rsid w:val="00712AC8"/>
    <w:rsid w:val="007163FC"/>
    <w:rsid w:val="007320E5"/>
    <w:rsid w:val="00746643"/>
    <w:rsid w:val="007601FB"/>
    <w:rsid w:val="00782541"/>
    <w:rsid w:val="007957B4"/>
    <w:rsid w:val="007A205D"/>
    <w:rsid w:val="007C14E5"/>
    <w:rsid w:val="007C1820"/>
    <w:rsid w:val="007D5B92"/>
    <w:rsid w:val="008003CF"/>
    <w:rsid w:val="00833532"/>
    <w:rsid w:val="008438B2"/>
    <w:rsid w:val="008518E3"/>
    <w:rsid w:val="00874F15"/>
    <w:rsid w:val="008A40B7"/>
    <w:rsid w:val="008A582D"/>
    <w:rsid w:val="008E78A2"/>
    <w:rsid w:val="009045AB"/>
    <w:rsid w:val="009147F6"/>
    <w:rsid w:val="00957873"/>
    <w:rsid w:val="00985300"/>
    <w:rsid w:val="009954AB"/>
    <w:rsid w:val="009A1D27"/>
    <w:rsid w:val="009B5796"/>
    <w:rsid w:val="00A11AC1"/>
    <w:rsid w:val="00A20698"/>
    <w:rsid w:val="00A42531"/>
    <w:rsid w:val="00A57C5C"/>
    <w:rsid w:val="00A67CFC"/>
    <w:rsid w:val="00A73AB1"/>
    <w:rsid w:val="00A8271A"/>
    <w:rsid w:val="00A82A6D"/>
    <w:rsid w:val="00A97615"/>
    <w:rsid w:val="00AA1CC7"/>
    <w:rsid w:val="00AC09F8"/>
    <w:rsid w:val="00B35E31"/>
    <w:rsid w:val="00B57588"/>
    <w:rsid w:val="00B61F67"/>
    <w:rsid w:val="00B65FE9"/>
    <w:rsid w:val="00B82BC0"/>
    <w:rsid w:val="00B93D58"/>
    <w:rsid w:val="00B93E7F"/>
    <w:rsid w:val="00BA3A2C"/>
    <w:rsid w:val="00BC125F"/>
    <w:rsid w:val="00BD226A"/>
    <w:rsid w:val="00C0203D"/>
    <w:rsid w:val="00C21147"/>
    <w:rsid w:val="00C3409F"/>
    <w:rsid w:val="00C4004F"/>
    <w:rsid w:val="00C50A51"/>
    <w:rsid w:val="00C61C36"/>
    <w:rsid w:val="00C72548"/>
    <w:rsid w:val="00CA0414"/>
    <w:rsid w:val="00CA725D"/>
    <w:rsid w:val="00CB126A"/>
    <w:rsid w:val="00CC0A05"/>
    <w:rsid w:val="00CD5D40"/>
    <w:rsid w:val="00CE0348"/>
    <w:rsid w:val="00CE23CE"/>
    <w:rsid w:val="00CF1D76"/>
    <w:rsid w:val="00CF23FD"/>
    <w:rsid w:val="00D13CC0"/>
    <w:rsid w:val="00D405CB"/>
    <w:rsid w:val="00D433E2"/>
    <w:rsid w:val="00D5285C"/>
    <w:rsid w:val="00D6059A"/>
    <w:rsid w:val="00D80189"/>
    <w:rsid w:val="00D819B8"/>
    <w:rsid w:val="00D82B07"/>
    <w:rsid w:val="00D85236"/>
    <w:rsid w:val="00D93699"/>
    <w:rsid w:val="00D97661"/>
    <w:rsid w:val="00D979A3"/>
    <w:rsid w:val="00DA4B9A"/>
    <w:rsid w:val="00DC6271"/>
    <w:rsid w:val="00DD6E5A"/>
    <w:rsid w:val="00DF0905"/>
    <w:rsid w:val="00DF0CCF"/>
    <w:rsid w:val="00E028B3"/>
    <w:rsid w:val="00E12807"/>
    <w:rsid w:val="00E25BBC"/>
    <w:rsid w:val="00E3417C"/>
    <w:rsid w:val="00E432D1"/>
    <w:rsid w:val="00E532D0"/>
    <w:rsid w:val="00EA21B3"/>
    <w:rsid w:val="00EA5B72"/>
    <w:rsid w:val="00EB560A"/>
    <w:rsid w:val="00EE4D07"/>
    <w:rsid w:val="00F02D17"/>
    <w:rsid w:val="00F10179"/>
    <w:rsid w:val="00F21FB6"/>
    <w:rsid w:val="00F26BD0"/>
    <w:rsid w:val="00F3260B"/>
    <w:rsid w:val="00F33A3D"/>
    <w:rsid w:val="00F34D7F"/>
    <w:rsid w:val="00F37E23"/>
    <w:rsid w:val="00F503A3"/>
    <w:rsid w:val="00F72630"/>
    <w:rsid w:val="00FA7D80"/>
    <w:rsid w:val="00FC35EC"/>
    <w:rsid w:val="00FC67C6"/>
    <w:rsid w:val="00FE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88"/>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88"/>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1815</Words>
  <Characters>10273</Characters>
  <Application>Microsoft Macintosh Word</Application>
  <DocSecurity>0</DocSecurity>
  <Lines>125</Lines>
  <Paragraphs>24</Paragraphs>
  <ScaleCrop>false</ScaleCrop>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5</cp:revision>
  <dcterms:created xsi:type="dcterms:W3CDTF">2017-01-06T13:38:00Z</dcterms:created>
  <dcterms:modified xsi:type="dcterms:W3CDTF">2019-04-16T21:44:00Z</dcterms:modified>
</cp:coreProperties>
</file>